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74" w:rsidRPr="00467439" w:rsidRDefault="00510374" w:rsidP="00510374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60" w:right="1260" w:firstLine="26"/>
        <w:jc w:val="center"/>
        <w:rPr>
          <w:rFonts w:ascii="Times New Roman" w:hAnsi="Times New Roman"/>
          <w:b/>
          <w:noProof/>
          <w:sz w:val="40"/>
          <w:szCs w:val="40"/>
        </w:rPr>
      </w:pPr>
      <w:r w:rsidRPr="00467439">
        <w:rPr>
          <w:rFonts w:ascii="Times New Roman" w:hAnsi="Times New Roman"/>
          <w:b/>
          <w:noProof/>
          <w:sz w:val="40"/>
          <w:szCs w:val="40"/>
        </w:rPr>
        <w:t>R E P U B L I K A S R B I J A</w:t>
      </w:r>
    </w:p>
    <w:p w:rsidR="00510374" w:rsidRPr="00467439" w:rsidRDefault="00510374" w:rsidP="00510374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260" w:right="1260" w:firstLine="26"/>
        <w:jc w:val="center"/>
        <w:rPr>
          <w:rFonts w:ascii="Times New Roman" w:hAnsi="Times New Roman"/>
          <w:b/>
          <w:noProof/>
          <w:sz w:val="40"/>
          <w:szCs w:val="40"/>
        </w:rPr>
      </w:pPr>
      <w:r w:rsidRPr="00467439">
        <w:rPr>
          <w:rFonts w:ascii="Times New Roman" w:hAnsi="Times New Roman"/>
          <w:b/>
          <w:noProof/>
          <w:sz w:val="40"/>
          <w:szCs w:val="40"/>
        </w:rPr>
        <w:t>OPŠTINA TUTIN</w:t>
      </w:r>
    </w:p>
    <w:p w:rsidR="00510374" w:rsidRPr="00467439" w:rsidRDefault="00510374" w:rsidP="00510374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center"/>
        <w:rPr>
          <w:rFonts w:ascii="Times New Roman" w:hAnsi="Times New Roman"/>
          <w:b/>
          <w:noProof/>
          <w:sz w:val="40"/>
          <w:szCs w:val="40"/>
        </w:rPr>
      </w:pPr>
      <w:r w:rsidRPr="00467439">
        <w:rPr>
          <w:rFonts w:ascii="Times New Roman" w:hAnsi="Times New Roman"/>
          <w:b/>
          <w:noProof/>
          <w:sz w:val="40"/>
          <w:szCs w:val="40"/>
        </w:rPr>
        <w:t>OPŠTINSKA UPRAVA</w:t>
      </w:r>
    </w:p>
    <w:p w:rsidR="00510374" w:rsidRPr="00467439" w:rsidRDefault="00510374" w:rsidP="00510374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center"/>
        <w:rPr>
          <w:rFonts w:ascii="Times New Roman" w:hAnsi="Times New Roman"/>
          <w:b/>
          <w:noProof/>
          <w:sz w:val="40"/>
          <w:szCs w:val="40"/>
        </w:rPr>
      </w:pPr>
      <w:r w:rsidRPr="00467439">
        <w:rPr>
          <w:rFonts w:ascii="Times New Roman" w:hAnsi="Times New Roman"/>
          <w:b/>
          <w:noProof/>
          <w:sz w:val="40"/>
          <w:szCs w:val="40"/>
        </w:rPr>
        <w:t>ODELJENJE ZA BUDŽET I  FINANSIJE</w:t>
      </w:r>
    </w:p>
    <w:p w:rsidR="00510374" w:rsidRPr="00897E9D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jc w:val="center"/>
        <w:rPr>
          <w:rFonts w:ascii="Times New Roman" w:hAnsi="Times New Roman"/>
          <w:noProof/>
          <w:sz w:val="40"/>
          <w:szCs w:val="40"/>
        </w:rPr>
      </w:pPr>
    </w:p>
    <w:p w:rsidR="00510374" w:rsidRPr="00897E9D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40"/>
          <w:szCs w:val="40"/>
        </w:rPr>
      </w:pPr>
    </w:p>
    <w:p w:rsidR="00510374" w:rsidRPr="00897E9D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40"/>
          <w:szCs w:val="40"/>
        </w:rPr>
      </w:pPr>
    </w:p>
    <w:p w:rsidR="00510374" w:rsidRPr="00897E9D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40"/>
          <w:szCs w:val="40"/>
        </w:rPr>
      </w:pPr>
    </w:p>
    <w:p w:rsidR="00510374" w:rsidRPr="00897E9D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40"/>
          <w:szCs w:val="40"/>
        </w:rPr>
      </w:pPr>
    </w:p>
    <w:p w:rsidR="00510374" w:rsidRPr="00897E9D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40"/>
          <w:szCs w:val="40"/>
        </w:rPr>
      </w:pPr>
    </w:p>
    <w:p w:rsidR="00510374" w:rsidRPr="00897E9D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40"/>
          <w:szCs w:val="40"/>
        </w:rPr>
      </w:pPr>
    </w:p>
    <w:p w:rsidR="00510374" w:rsidRPr="00897E9D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40"/>
          <w:szCs w:val="40"/>
        </w:rPr>
      </w:pPr>
    </w:p>
    <w:p w:rsidR="00510374" w:rsidRPr="00897E9D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40"/>
          <w:szCs w:val="40"/>
        </w:rPr>
      </w:pPr>
    </w:p>
    <w:p w:rsidR="00510374" w:rsidRPr="00897E9D" w:rsidRDefault="004D61BF" w:rsidP="00510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t>UPUSTVO ZA PRIPREMU ODLUKE O  BUDŽETU</w:t>
      </w:r>
      <w:r w:rsidR="00510374">
        <w:rPr>
          <w:rFonts w:ascii="Times New Roman" w:hAnsi="Times New Roman"/>
          <w:b/>
          <w:noProof/>
          <w:sz w:val="44"/>
          <w:szCs w:val="44"/>
        </w:rPr>
        <w:t xml:space="preserve"> OPŠTINE TUTIN  ZA 2016</w:t>
      </w:r>
      <w:r w:rsidR="00510374" w:rsidRPr="00897E9D">
        <w:rPr>
          <w:rFonts w:ascii="Times New Roman" w:hAnsi="Times New Roman"/>
          <w:b/>
          <w:noProof/>
          <w:sz w:val="44"/>
          <w:szCs w:val="44"/>
        </w:rPr>
        <w:t>. godinu</w:t>
      </w:r>
    </w:p>
    <w:p w:rsidR="00510374" w:rsidRPr="00897E9D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jc w:val="center"/>
        <w:rPr>
          <w:rFonts w:ascii="Times New Roman" w:hAnsi="Times New Roman"/>
          <w:b/>
          <w:noProof/>
          <w:sz w:val="44"/>
          <w:szCs w:val="44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jc w:val="center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4D61BF" w:rsidRDefault="004D61BF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t>Septembar 2015</w:t>
      </w:r>
      <w:r w:rsidR="004D61BF">
        <w:rPr>
          <w:rFonts w:ascii="Times New Roman" w:hAnsi="Times New Roman"/>
          <w:b/>
          <w:noProof/>
          <w:sz w:val="32"/>
          <w:szCs w:val="32"/>
        </w:rPr>
        <w:t>. g</w:t>
      </w:r>
      <w:r w:rsidRPr="00467439">
        <w:rPr>
          <w:rFonts w:ascii="Times New Roman" w:hAnsi="Times New Roman"/>
          <w:b/>
          <w:noProof/>
          <w:sz w:val="32"/>
          <w:szCs w:val="32"/>
        </w:rPr>
        <w:t>od.</w:t>
      </w: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sz w:val="32"/>
          <w:szCs w:val="32"/>
        </w:rPr>
      </w:pPr>
    </w:p>
    <w:p w:rsidR="00510374" w:rsidRDefault="00510374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b/>
          <w:noProof/>
          <w:sz w:val="32"/>
          <w:szCs w:val="32"/>
        </w:rPr>
      </w:pPr>
    </w:p>
    <w:p w:rsidR="00CA0023" w:rsidRDefault="00CA0023" w:rsidP="00510374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b/>
          <w:noProof/>
          <w:sz w:val="32"/>
          <w:szCs w:val="32"/>
        </w:rPr>
      </w:pPr>
    </w:p>
    <w:p w:rsidR="00510374" w:rsidRPr="00510374" w:rsidRDefault="00510374" w:rsidP="00510374">
      <w:pPr>
        <w:ind w:firstLine="708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0374">
        <w:rPr>
          <w:rFonts w:ascii="Times New Roman" w:hAnsi="Times New Roman"/>
          <w:sz w:val="20"/>
          <w:szCs w:val="20"/>
          <w:lang w:val="sr-Cyrl-CS"/>
        </w:rPr>
        <w:lastRenderedPageBreak/>
        <w:t>Na osnovu člana 31. stav 1. tačka 2. podtačka 1, člana 36. i 40. i 41. Zakona o budžetskom sistemu („Službeni glasnik RS”, br. 54/2009, 73/2010, 101/2010, 101/2011, 93/2012, 62/2013</w:t>
      </w:r>
      <w:r w:rsidRPr="00510374">
        <w:rPr>
          <w:rFonts w:ascii="Times New Roman" w:hAnsi="Times New Roman"/>
          <w:sz w:val="20"/>
          <w:szCs w:val="20"/>
        </w:rPr>
        <w:t>,</w:t>
      </w:r>
      <w:r w:rsidRPr="00510374">
        <w:rPr>
          <w:rFonts w:ascii="Times New Roman" w:hAnsi="Times New Roman"/>
          <w:sz w:val="20"/>
          <w:szCs w:val="20"/>
          <w:lang w:val="sr-Cyrl-CS"/>
        </w:rPr>
        <w:t xml:space="preserve"> 63/2013</w:t>
      </w:r>
      <w:r w:rsidRPr="00510374">
        <w:rPr>
          <w:rFonts w:ascii="Times New Roman" w:hAnsi="Times New Roman"/>
          <w:sz w:val="20"/>
          <w:szCs w:val="20"/>
        </w:rPr>
        <w:t>,</w:t>
      </w:r>
      <w:r w:rsidRPr="00510374">
        <w:rPr>
          <w:rFonts w:ascii="Times New Roman" w:hAnsi="Times New Roman"/>
          <w:sz w:val="20"/>
          <w:szCs w:val="20"/>
          <w:lang w:val="sr-Cyrl-CS"/>
        </w:rPr>
        <w:t xml:space="preserve"> 108/2013</w:t>
      </w:r>
      <w:r w:rsidRPr="00510374">
        <w:rPr>
          <w:rFonts w:ascii="Times New Roman" w:hAnsi="Times New Roman"/>
          <w:sz w:val="20"/>
          <w:szCs w:val="20"/>
        </w:rPr>
        <w:t xml:space="preserve"> </w:t>
      </w:r>
      <w:r w:rsidRPr="00510374">
        <w:rPr>
          <w:rFonts w:ascii="Times New Roman" w:hAnsi="Times New Roman"/>
          <w:sz w:val="20"/>
          <w:szCs w:val="20"/>
          <w:lang w:val="sr-Cyrl-CS"/>
        </w:rPr>
        <w:t xml:space="preserve">i 142/2014 u dalјem tekstu: Zakon), </w:t>
      </w: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 xml:space="preserve">Opštinska uprava </w:t>
      </w:r>
      <w:r w:rsidRPr="00510374">
        <w:rPr>
          <w:rFonts w:ascii="Times New Roman" w:hAnsi="Times New Roman"/>
          <w:color w:val="000000"/>
          <w:sz w:val="20"/>
          <w:szCs w:val="20"/>
          <w:lang w:val="sr-Latn-CS"/>
        </w:rPr>
        <w:t>Tutin</w:t>
      </w: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- Odelјenje za </w:t>
      </w:r>
      <w:r w:rsidRPr="00510374">
        <w:rPr>
          <w:rFonts w:ascii="Times New Roman" w:hAnsi="Times New Roman"/>
          <w:color w:val="000000"/>
          <w:sz w:val="20"/>
          <w:szCs w:val="20"/>
          <w:lang w:val="sr-Latn-CS"/>
        </w:rPr>
        <w:t xml:space="preserve"> budžet  i </w:t>
      </w: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 xml:space="preserve">finansije-Služba budžeta, dostavlјa </w:t>
      </w:r>
      <w:r w:rsidRPr="00510374">
        <w:rPr>
          <w:rFonts w:ascii="Times New Roman" w:hAnsi="Times New Roman"/>
          <w:sz w:val="20"/>
          <w:szCs w:val="20"/>
          <w:lang w:val="sr-Cyrl-CS"/>
        </w:rPr>
        <w:t xml:space="preserve">Vam </w:t>
      </w:r>
      <w:r w:rsidRPr="0051037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Uputstvo za pripremu Odluke o budžetu opštine </w:t>
      </w:r>
      <w:r w:rsidRPr="00510374">
        <w:rPr>
          <w:rFonts w:ascii="Times New Roman" w:hAnsi="Times New Roman"/>
          <w:b/>
          <w:bCs/>
          <w:sz w:val="20"/>
          <w:szCs w:val="20"/>
          <w:lang w:val="sr-Latn-CS"/>
        </w:rPr>
        <w:t xml:space="preserve">Tutin </w:t>
      </w:r>
      <w:r w:rsidRPr="00510374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za 2016. godinu.</w:t>
      </w:r>
      <w:r w:rsidRPr="00510374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:rsidR="00510374" w:rsidRPr="00510374" w:rsidRDefault="00510374" w:rsidP="00510374">
      <w:pPr>
        <w:ind w:firstLine="708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0374">
        <w:rPr>
          <w:rFonts w:ascii="Times New Roman" w:hAnsi="Times New Roman"/>
          <w:sz w:val="20"/>
          <w:szCs w:val="20"/>
          <w:lang w:val="sr-Cyrl-CS"/>
        </w:rPr>
        <w:t>Ovogodišnje uputsvo za pripremu odluke o budžetu opštine daje se  bez usvojene Fiskalne strategije za 2016. godinu sa projekcijama za 20</w:t>
      </w:r>
      <w:r w:rsidRPr="00510374">
        <w:rPr>
          <w:rFonts w:ascii="Times New Roman" w:hAnsi="Times New Roman"/>
          <w:sz w:val="20"/>
          <w:szCs w:val="20"/>
          <w:lang w:val="ru-RU"/>
        </w:rPr>
        <w:t>17</w:t>
      </w:r>
      <w:r w:rsidRPr="00510374">
        <w:rPr>
          <w:rFonts w:ascii="Times New Roman" w:hAnsi="Times New Roman"/>
          <w:sz w:val="20"/>
          <w:szCs w:val="20"/>
          <w:lang w:val="sr-Cyrl-CS"/>
        </w:rPr>
        <w:t xml:space="preserve">. i 2018. godinu i Uputstva za pripremu odluke o budžetu lokalnih vlasti za 2017. godinu zbog toga što Vlada RS i </w:t>
      </w:r>
      <w:r w:rsidRPr="00510374">
        <w:rPr>
          <w:rFonts w:ascii="Times New Roman" w:hAnsi="Times New Roman"/>
          <w:sz w:val="20"/>
          <w:szCs w:val="20"/>
        </w:rPr>
        <w:t>Ministartsvo finansija</w:t>
      </w:r>
      <w:r w:rsidRPr="00510374">
        <w:rPr>
          <w:rFonts w:ascii="Times New Roman" w:hAnsi="Times New Roman"/>
          <w:sz w:val="20"/>
          <w:szCs w:val="20"/>
          <w:lang w:val="sr-Cyrl-CS"/>
        </w:rPr>
        <w:t xml:space="preserve"> nisu usvojili i dostavili navedena dokumenta u Zakonom propisanom roku (5. jul.).</w:t>
      </w:r>
    </w:p>
    <w:p w:rsidR="00510374" w:rsidRPr="00510374" w:rsidRDefault="00510374" w:rsidP="00510374">
      <w:pPr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0374">
        <w:rPr>
          <w:rFonts w:ascii="Times New Roman" w:hAnsi="Times New Roman"/>
          <w:sz w:val="20"/>
          <w:szCs w:val="20"/>
          <w:lang w:val="sr-Cyrl-CS"/>
        </w:rPr>
        <w:t xml:space="preserve"> Ovo Uputstvo je, međutim, izrađeno na osnovu važećeg Zakona o budžetskom sistemu, Zakona o finansiranju lokalne samouprave i važećih osnovica za obračun i isplatu plata u državnim organima i  javnim službama, </w:t>
      </w: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>Fiskalne strategije za 2015.godinu  sa projekcijama za 2016. i 2017.godinu i</w:t>
      </w:r>
      <w:r w:rsidRPr="005103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10374">
        <w:rPr>
          <w:rFonts w:ascii="Times New Roman" w:hAnsi="Times New Roman"/>
          <w:bCs/>
          <w:color w:val="000000"/>
          <w:sz w:val="20"/>
          <w:szCs w:val="20"/>
        </w:rPr>
        <w:t>Uputstva za pripremu Odluke o budžetu</w:t>
      </w:r>
      <w:r w:rsidRPr="00510374">
        <w:rPr>
          <w:rFonts w:ascii="Times New Roman" w:hAnsi="Times New Roman"/>
          <w:bCs/>
          <w:color w:val="000000"/>
          <w:sz w:val="20"/>
          <w:szCs w:val="20"/>
          <w:lang w:val="sr-Cyrl-CS"/>
        </w:rPr>
        <w:t xml:space="preserve"> lokalne vlasti</w:t>
      </w:r>
      <w:r w:rsidRPr="00510374">
        <w:rPr>
          <w:rFonts w:ascii="Times New Roman" w:hAnsi="Times New Roman"/>
          <w:bCs/>
          <w:color w:val="000000"/>
          <w:sz w:val="20"/>
          <w:szCs w:val="20"/>
        </w:rPr>
        <w:t xml:space="preserve"> za 201</w:t>
      </w:r>
      <w:r w:rsidRPr="00510374">
        <w:rPr>
          <w:rFonts w:ascii="Times New Roman" w:hAnsi="Times New Roman"/>
          <w:bCs/>
          <w:color w:val="000000"/>
          <w:sz w:val="20"/>
          <w:szCs w:val="20"/>
          <w:lang w:val="sr-Cyrl-CS"/>
        </w:rPr>
        <w:t>5</w:t>
      </w:r>
      <w:r w:rsidRPr="00510374">
        <w:rPr>
          <w:rFonts w:ascii="Times New Roman" w:hAnsi="Times New Roman"/>
          <w:bCs/>
          <w:color w:val="000000"/>
          <w:sz w:val="20"/>
          <w:szCs w:val="20"/>
        </w:rPr>
        <w:t>. godinu</w:t>
      </w:r>
      <w:r w:rsidRPr="00510374">
        <w:rPr>
          <w:rFonts w:ascii="Times New Roman" w:hAnsi="Times New Roman"/>
          <w:bCs/>
          <w:color w:val="000000"/>
          <w:sz w:val="20"/>
          <w:szCs w:val="20"/>
          <w:lang w:val="sr-Cyrl-CS"/>
        </w:rPr>
        <w:t xml:space="preserve"> sa projekcijama za 2016 i 2017.godinu dato od Ministarstva finansija</w:t>
      </w:r>
      <w:r w:rsidRPr="00510374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510374">
        <w:rPr>
          <w:rFonts w:ascii="Times New Roman" w:hAnsi="Times New Roman"/>
          <w:sz w:val="20"/>
          <w:szCs w:val="20"/>
          <w:lang w:val="sr-Cyrl-CS"/>
        </w:rPr>
        <w:t xml:space="preserve">te ukoliko se Uputstvom Ministarstva za 2016.odinu definišu drugačiji parametri od parametara definisanih ovim Uputstvom, Služba budžeta će blagovremeno dostaviti dopunjeno Uputstvo za pripremu Odluke o budžetu opštine </w:t>
      </w:r>
      <w:r w:rsidRPr="00510374">
        <w:rPr>
          <w:rFonts w:ascii="Times New Roman" w:hAnsi="Times New Roman"/>
          <w:sz w:val="20"/>
          <w:szCs w:val="20"/>
          <w:lang w:val="sr-Latn-CS"/>
        </w:rPr>
        <w:t>Tutin</w:t>
      </w:r>
      <w:r w:rsidRPr="00510374">
        <w:rPr>
          <w:rFonts w:ascii="Times New Roman" w:hAnsi="Times New Roman"/>
          <w:sz w:val="20"/>
          <w:szCs w:val="20"/>
          <w:lang w:val="sr-Cyrl-CS"/>
        </w:rPr>
        <w:t xml:space="preserve"> za 2016. godinu sa svim neophodnim informacijama.</w:t>
      </w:r>
    </w:p>
    <w:p w:rsidR="00510374" w:rsidRPr="00510374" w:rsidRDefault="00510374" w:rsidP="00510374">
      <w:pPr>
        <w:ind w:firstLine="708"/>
        <w:jc w:val="both"/>
        <w:rPr>
          <w:rFonts w:ascii="Times New Roman" w:hAnsi="Times New Roman"/>
          <w:sz w:val="20"/>
          <w:szCs w:val="20"/>
          <w:lang w:val="sr-Cyrl-CS"/>
        </w:rPr>
      </w:pPr>
      <w:r w:rsidRPr="00510374">
        <w:rPr>
          <w:rFonts w:ascii="Times New Roman" w:hAnsi="Times New Roman"/>
          <w:sz w:val="20"/>
          <w:szCs w:val="20"/>
          <w:lang w:val="sr-Cyrl-CS"/>
        </w:rPr>
        <w:t>U skladu sa članom 112. Zakona, počevši od donošenja o budžeta za 2015. godinu, sve lokalne samouprave i korisnici budžetskih sredstava su u obavezi da svoje finansijske planove planiraju u skladu sa programskom metodologijom</w:t>
      </w:r>
      <w:r w:rsidRPr="00510374">
        <w:rPr>
          <w:rStyle w:val="FootnoteReference"/>
          <w:rFonts w:ascii="Times New Roman" w:hAnsi="Times New Roman"/>
          <w:sz w:val="20"/>
          <w:szCs w:val="20"/>
          <w:lang w:val="sr-Cyrl-CS"/>
        </w:rPr>
        <w:footnoteReference w:id="2"/>
      </w:r>
      <w:r w:rsidRPr="00510374">
        <w:rPr>
          <w:rFonts w:ascii="Times New Roman" w:hAnsi="Times New Roman"/>
          <w:sz w:val="20"/>
          <w:szCs w:val="20"/>
          <w:lang w:val="sr-Cyrl-CS"/>
        </w:rPr>
        <w:t>.</w:t>
      </w:r>
    </w:p>
    <w:p w:rsidR="00510374" w:rsidRPr="00510374" w:rsidRDefault="00510374" w:rsidP="00510374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ab/>
      </w:r>
      <w:r w:rsidRPr="00510374">
        <w:rPr>
          <w:rFonts w:ascii="Times New Roman" w:hAnsi="Times New Roman"/>
          <w:color w:val="000000"/>
          <w:sz w:val="20"/>
          <w:szCs w:val="20"/>
        </w:rPr>
        <w:t>Uputstvo koje vam dostavlјamo u prilogu, sadrži osnovne ekonomske pretpostavke,</w:t>
      </w: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510374">
        <w:rPr>
          <w:rFonts w:ascii="Times New Roman" w:hAnsi="Times New Roman"/>
          <w:color w:val="000000"/>
          <w:sz w:val="20"/>
          <w:szCs w:val="20"/>
        </w:rPr>
        <w:t>smernice i parametre na osnovu kojih ste u obavezi da izradite Predlog finansijskog</w:t>
      </w: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510374">
        <w:rPr>
          <w:rFonts w:ascii="Times New Roman" w:hAnsi="Times New Roman"/>
          <w:color w:val="000000"/>
          <w:sz w:val="20"/>
          <w:szCs w:val="20"/>
        </w:rPr>
        <w:t>plana za 201</w:t>
      </w: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>5</w:t>
      </w:r>
      <w:r w:rsidRPr="00510374">
        <w:rPr>
          <w:rFonts w:ascii="Times New Roman" w:hAnsi="Times New Roman"/>
          <w:color w:val="000000"/>
          <w:sz w:val="20"/>
          <w:szCs w:val="20"/>
        </w:rPr>
        <w:t xml:space="preserve">. godinu i naredne dve fiskalne godine. </w:t>
      </w:r>
    </w:p>
    <w:p w:rsidR="00510374" w:rsidRPr="00510374" w:rsidRDefault="00510374" w:rsidP="00510374">
      <w:pPr>
        <w:ind w:firstLine="720"/>
        <w:jc w:val="both"/>
        <w:rPr>
          <w:rFonts w:ascii="Times New Roman" w:hAnsi="Times New Roman"/>
          <w:b/>
          <w:color w:val="000000"/>
          <w:sz w:val="20"/>
          <w:szCs w:val="20"/>
          <w:lang w:val="sr-Cyrl-CS"/>
        </w:rPr>
      </w:pPr>
      <w:r w:rsidRPr="00510374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Korisnici budžetskih sredtava su u obavezi, da dostave predloge finansijskog plana, usvojen od nadležnih organa, </w:t>
      </w:r>
      <w:r w:rsidRPr="00510374">
        <w:rPr>
          <w:rFonts w:ascii="Times New Roman" w:hAnsi="Times New Roman"/>
          <w:color w:val="000000"/>
          <w:sz w:val="20"/>
          <w:szCs w:val="20"/>
        </w:rPr>
        <w:t xml:space="preserve">na propisanim obrascima koji su dostupni na </w:t>
      </w: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>sajtu opštine</w:t>
      </w:r>
      <w:r w:rsidRPr="00510374">
        <w:rPr>
          <w:rFonts w:ascii="Times New Roman" w:hAnsi="Times New Roman"/>
          <w:color w:val="000000"/>
          <w:sz w:val="20"/>
          <w:szCs w:val="20"/>
        </w:rPr>
        <w:t xml:space="preserve"> i u službi budžeta</w:t>
      </w: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>,</w:t>
      </w:r>
      <w:r w:rsidRPr="0051037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10374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na osnovu sistema jedinstvene budžetske klasifikacije sa detalјnim obrazloženjem  i opisom rashoda i izdataka </w:t>
      </w:r>
      <w:r w:rsidRPr="00510374">
        <w:rPr>
          <w:rFonts w:ascii="Times New Roman" w:hAnsi="Times New Roman"/>
          <w:b/>
          <w:sz w:val="20"/>
          <w:szCs w:val="20"/>
          <w:lang w:val="sr-Cyrl-CS"/>
        </w:rPr>
        <w:t>i sa navedenim pravnim osnovom</w:t>
      </w:r>
      <w:r w:rsidRPr="00510374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, kao i izvora finansiranja. </w:t>
      </w:r>
      <w:r w:rsidRPr="00510374">
        <w:rPr>
          <w:rFonts w:ascii="Times New Roman" w:hAnsi="Times New Roman"/>
          <w:b/>
          <w:sz w:val="20"/>
          <w:szCs w:val="20"/>
          <w:lang w:val="sr-Cyrl-CS"/>
        </w:rPr>
        <w:t xml:space="preserve">Predlog se dostavlјa u pisanom obliku, potpisan od strane direktora i overen pečatom.  </w:t>
      </w:r>
    </w:p>
    <w:p w:rsidR="00510374" w:rsidRPr="00510374" w:rsidRDefault="00510374" w:rsidP="00510374">
      <w:pPr>
        <w:ind w:firstLine="705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 xml:space="preserve">Prema budžetskom kalendaru, član 31. Zakona o budžetskom sistemu, </w:t>
      </w:r>
      <w:r w:rsidR="00ED120D">
        <w:rPr>
          <w:rFonts w:ascii="Times New Roman" w:hAnsi="Times New Roman"/>
          <w:color w:val="000000"/>
          <w:sz w:val="20"/>
          <w:szCs w:val="20"/>
          <w:lang w:val="sr-Latn-CS"/>
        </w:rPr>
        <w:t xml:space="preserve"> a imajući u vidu sva kašnjenja ,</w:t>
      </w:r>
      <w:r w:rsidRPr="00510374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rok za dostavlјanje predloga finansijskog plana lokalnom organu uprave nadležnom za finansije je  </w:t>
      </w:r>
      <w:r w:rsidR="00ED120D">
        <w:rPr>
          <w:rFonts w:ascii="Times New Roman" w:hAnsi="Times New Roman"/>
          <w:b/>
          <w:color w:val="000000"/>
          <w:sz w:val="20"/>
          <w:szCs w:val="20"/>
          <w:lang w:val="sr-Latn-CS"/>
        </w:rPr>
        <w:t>15</w:t>
      </w:r>
      <w:r w:rsidRPr="00510374">
        <w:rPr>
          <w:rFonts w:ascii="Times New Roman" w:hAnsi="Times New Roman"/>
          <w:b/>
          <w:color w:val="000000"/>
          <w:sz w:val="20"/>
          <w:szCs w:val="20"/>
          <w:lang w:val="sr-Cyrl-CS"/>
        </w:rPr>
        <w:t>.</w:t>
      </w:r>
      <w:r w:rsidR="00ED120D">
        <w:rPr>
          <w:rFonts w:ascii="Times New Roman" w:hAnsi="Times New Roman"/>
          <w:b/>
          <w:color w:val="000000"/>
          <w:sz w:val="20"/>
          <w:szCs w:val="20"/>
          <w:lang w:val="sr-Latn-CS"/>
        </w:rPr>
        <w:t>novembar</w:t>
      </w:r>
      <w:r w:rsidRPr="00510374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 2015.godine. </w:t>
      </w:r>
    </w:p>
    <w:p w:rsidR="00510374" w:rsidRPr="00510374" w:rsidRDefault="00510374" w:rsidP="00510374">
      <w:pPr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>Raspored i prenos sredstava budžetskim korisnicima u 2016. godini vršiće se na bazi tačno utvrđenih kvota. Zbog toga je neophodno da što detalјnije obrazložite i opišete svoje rashode i izdatke i time omogućite organu nadležnom za budžet da blagovremeno i sveobuhvatno sagleda ukupno potrebna sredstva na nivou opštine, odnosno za sve namene i sve korisnike budžeta, i u skladu sa tim dostavi Nacrt budžeta za 2016.godinu Opštinskom veću na utvrđivanje predloga Odluke i  dostavi Skupštini opštine na usvajanje.</w:t>
      </w:r>
    </w:p>
    <w:p w:rsidR="00510374" w:rsidRPr="00510374" w:rsidRDefault="00510374" w:rsidP="0051037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7030A0"/>
          <w:sz w:val="20"/>
          <w:szCs w:val="20"/>
          <w:lang w:val="sr-Latn-CS"/>
        </w:rPr>
      </w:pPr>
      <w:r w:rsidRPr="00510374">
        <w:rPr>
          <w:rFonts w:ascii="Times New Roman" w:hAnsi="Times New Roman"/>
          <w:b/>
          <w:color w:val="000000"/>
          <w:sz w:val="20"/>
          <w:szCs w:val="20"/>
        </w:rPr>
        <w:t>Uputstvo za pripremu budžeta o</w:t>
      </w:r>
      <w:r w:rsidRPr="00510374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pštine </w:t>
      </w:r>
      <w:r w:rsidRPr="00510374">
        <w:rPr>
          <w:rFonts w:ascii="Times New Roman" w:hAnsi="Times New Roman"/>
          <w:b/>
          <w:color w:val="000000"/>
          <w:sz w:val="20"/>
          <w:szCs w:val="20"/>
          <w:lang w:val="sr-Latn-CS"/>
        </w:rPr>
        <w:t>Tutin</w:t>
      </w:r>
      <w:r w:rsidRPr="00510374">
        <w:rPr>
          <w:rFonts w:ascii="Times New Roman" w:hAnsi="Times New Roman"/>
          <w:b/>
          <w:color w:val="000000"/>
          <w:sz w:val="20"/>
          <w:szCs w:val="20"/>
        </w:rPr>
        <w:t xml:space="preserve"> za 2016. sa projekcijama za 2017. i 2018.</w:t>
      </w:r>
      <w:r w:rsidRPr="00510374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 g</w:t>
      </w:r>
      <w:r w:rsidRPr="00510374">
        <w:rPr>
          <w:rFonts w:ascii="Times New Roman" w:hAnsi="Times New Roman"/>
          <w:b/>
          <w:color w:val="000000"/>
          <w:sz w:val="20"/>
          <w:szCs w:val="20"/>
        </w:rPr>
        <w:t xml:space="preserve">odinu sa pratećim obrascima </w:t>
      </w: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>-  Obrazac finansijskog plana,  Obrasci programskog budžeta (tabele od 4 -6), Prilog 1 i prilog 2, Obrazac 7 i Uputstvo za pripremu programskog budžeta Ministarstva finansija,</w:t>
      </w:r>
      <w:r w:rsidRPr="00510374">
        <w:rPr>
          <w:rFonts w:ascii="Times New Roman" w:hAnsi="Times New Roman"/>
          <w:b/>
          <w:color w:val="000000"/>
          <w:sz w:val="20"/>
          <w:szCs w:val="20"/>
        </w:rPr>
        <w:t>, Vam dostavljamo  u Prilogu</w:t>
      </w:r>
    </w:p>
    <w:p w:rsidR="00510374" w:rsidRPr="00510374" w:rsidRDefault="00510374" w:rsidP="00510374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color w:val="000000"/>
          <w:sz w:val="20"/>
          <w:szCs w:val="20"/>
        </w:rPr>
      </w:pPr>
      <w:r w:rsidRPr="00510374">
        <w:rPr>
          <w:rFonts w:ascii="Times New Roman" w:hAnsi="Times New Roman"/>
          <w:b/>
          <w:color w:val="000000"/>
          <w:sz w:val="20"/>
          <w:szCs w:val="20"/>
        </w:rPr>
        <w:t>Za sve dodatne informacije možete se obratiti na telefone: 020/</w:t>
      </w:r>
      <w:r w:rsidRPr="00510374">
        <w:rPr>
          <w:rFonts w:ascii="Times New Roman" w:hAnsi="Times New Roman"/>
          <w:b/>
          <w:color w:val="000000"/>
          <w:sz w:val="20"/>
          <w:szCs w:val="20"/>
          <w:lang w:val="sr-Latn-CS"/>
        </w:rPr>
        <w:t>811-068</w:t>
      </w:r>
      <w:r w:rsidRPr="00510374">
        <w:rPr>
          <w:rFonts w:ascii="Times New Roman" w:hAnsi="Times New Roman"/>
          <w:b/>
          <w:color w:val="000000"/>
          <w:sz w:val="20"/>
          <w:szCs w:val="20"/>
        </w:rPr>
        <w:t>-</w:t>
      </w:r>
      <w:r w:rsidRPr="00510374">
        <w:rPr>
          <w:rFonts w:ascii="Times New Roman" w:hAnsi="Times New Roman"/>
          <w:b/>
          <w:color w:val="000000"/>
          <w:sz w:val="20"/>
          <w:szCs w:val="20"/>
          <w:lang w:val="sr-Cyrl-CS"/>
        </w:rPr>
        <w:t>Služba budžeta</w:t>
      </w:r>
      <w:r w:rsidRPr="00510374">
        <w:rPr>
          <w:rFonts w:ascii="Times New Roman" w:hAnsi="Times New Roman"/>
          <w:b/>
          <w:color w:val="000000"/>
          <w:sz w:val="20"/>
          <w:szCs w:val="20"/>
        </w:rPr>
        <w:t>.</w:t>
      </w:r>
    </w:p>
    <w:p w:rsidR="00510374" w:rsidRDefault="00510374" w:rsidP="00510374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 w:val="20"/>
          <w:szCs w:val="20"/>
          <w:lang w:val="sr-Latn-CS"/>
        </w:rPr>
      </w:pPr>
      <w:r w:rsidRPr="00510374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</w:p>
    <w:p w:rsidR="006B40A6" w:rsidRDefault="006B40A6" w:rsidP="00510374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 w:val="20"/>
          <w:szCs w:val="20"/>
          <w:lang w:val="sr-Latn-CS"/>
        </w:rPr>
      </w:pPr>
    </w:p>
    <w:p w:rsidR="006B40A6" w:rsidRPr="006B40A6" w:rsidRDefault="006B40A6" w:rsidP="00510374">
      <w:pPr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 w:val="20"/>
          <w:szCs w:val="20"/>
          <w:lang w:val="sr-Latn-CS"/>
        </w:rPr>
      </w:pPr>
    </w:p>
    <w:p w:rsidR="00510374" w:rsidRDefault="00510374" w:rsidP="00510374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:rsidR="00ED120D" w:rsidRDefault="00ED120D" w:rsidP="00510374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:rsidR="00ED120D" w:rsidRDefault="00ED120D" w:rsidP="00510374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:rsidR="00CA0023" w:rsidRPr="00510374" w:rsidRDefault="00CA0023" w:rsidP="00510374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</w:p>
    <w:p w:rsidR="006B40A6" w:rsidRPr="006B40A6" w:rsidRDefault="006B40A6" w:rsidP="006B40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lang w:val="sr-Cyrl-CS"/>
        </w:rPr>
      </w:pPr>
      <w:r w:rsidRPr="006B40A6">
        <w:rPr>
          <w:rFonts w:ascii="Times New Roman" w:hAnsi="Times New Roman"/>
          <w:b/>
          <w:bCs/>
          <w:sz w:val="20"/>
          <w:szCs w:val="20"/>
        </w:rPr>
        <w:t>PRAVNI OSNOV</w:t>
      </w:r>
    </w:p>
    <w:p w:rsidR="006B40A6" w:rsidRPr="006B40A6" w:rsidRDefault="006B40A6" w:rsidP="006B40A6">
      <w:pPr>
        <w:autoSpaceDE w:val="0"/>
        <w:autoSpaceDN w:val="0"/>
        <w:adjustRightInd w:val="0"/>
        <w:ind w:left="-142" w:right="-682"/>
        <w:jc w:val="both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6B40A6" w:rsidRPr="006B40A6" w:rsidRDefault="006B40A6" w:rsidP="006B40A6">
      <w:pPr>
        <w:ind w:firstLine="720"/>
        <w:rPr>
          <w:rFonts w:ascii="Times New Roman" w:hAnsi="Times New Roman"/>
          <w:sz w:val="20"/>
          <w:szCs w:val="20"/>
        </w:rPr>
      </w:pPr>
      <w:r w:rsidRPr="006B40A6">
        <w:rPr>
          <w:rFonts w:ascii="Times New Roman" w:hAnsi="Times New Roman"/>
          <w:sz w:val="20"/>
          <w:szCs w:val="20"/>
        </w:rPr>
        <w:t>Postupak pripreme i donošenja budžeta lokalne vlasti uređen je Zakonom o budžetskom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sistemu.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Rokovi za donošenje Fiskalne strategije i dostavlјanje Uputstva za pripremu odluke o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budžetu lokalne vlasti, uređeni su članom 31. Zakona o budžetskom sistemu</w:t>
      </w:r>
      <w:r w:rsidRPr="006B40A6">
        <w:rPr>
          <w:rFonts w:ascii="Times New Roman" w:hAnsi="Times New Roman"/>
          <w:sz w:val="20"/>
          <w:szCs w:val="20"/>
          <w:lang w:val="sr-Cyrl-CS"/>
        </w:rPr>
        <w:t>,</w:t>
      </w:r>
      <w:r w:rsidRPr="006B40A6">
        <w:rPr>
          <w:rFonts w:ascii="Times New Roman" w:hAnsi="Times New Roman"/>
          <w:sz w:val="20"/>
          <w:szCs w:val="20"/>
        </w:rPr>
        <w:t>odnosno budžetskim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kalendarom.</w:t>
      </w:r>
    </w:p>
    <w:p w:rsidR="006B40A6" w:rsidRPr="006B40A6" w:rsidRDefault="006B40A6" w:rsidP="006B40A6">
      <w:pPr>
        <w:ind w:firstLine="720"/>
        <w:rPr>
          <w:rFonts w:ascii="Times New Roman" w:hAnsi="Times New Roman"/>
          <w:sz w:val="20"/>
          <w:szCs w:val="20"/>
        </w:rPr>
      </w:pPr>
      <w:r w:rsidRPr="006B40A6">
        <w:rPr>
          <w:rFonts w:ascii="Times New Roman" w:hAnsi="Times New Roman"/>
          <w:sz w:val="20"/>
          <w:szCs w:val="20"/>
        </w:rPr>
        <w:t>Na osnovu člana 40. Zakona o budžetskom sistemu, lokalni organ uprave nadležan za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finansije dostavlјa uputstvo za pripremu nacrta budžeta lokalne vlasti i obaveštava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direktne korisnike budžetskih sredstava o osnovnim ekonomskim pretpostavkama i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smernicama za pripremu budžeta.</w:t>
      </w:r>
    </w:p>
    <w:p w:rsidR="006B40A6" w:rsidRPr="006B40A6" w:rsidRDefault="006B40A6" w:rsidP="006B40A6">
      <w:pPr>
        <w:ind w:firstLine="720"/>
        <w:rPr>
          <w:rFonts w:ascii="Times New Roman" w:hAnsi="Times New Roman"/>
          <w:sz w:val="20"/>
          <w:szCs w:val="20"/>
        </w:rPr>
      </w:pPr>
      <w:r w:rsidRPr="006B40A6">
        <w:rPr>
          <w:rFonts w:ascii="Times New Roman" w:hAnsi="Times New Roman"/>
          <w:sz w:val="20"/>
          <w:szCs w:val="20"/>
        </w:rPr>
        <w:t>U pogledu sadržine predloga finansijskog plana direktnih korisnika sredstava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budžeta shodno se primenjuju odredbe člana 37. istog Zakona, odnosno predlog finansijskog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plana obuhvata:</w:t>
      </w:r>
    </w:p>
    <w:p w:rsidR="006B40A6" w:rsidRPr="006B40A6" w:rsidRDefault="006B40A6" w:rsidP="006B40A6">
      <w:pPr>
        <w:ind w:firstLine="720"/>
        <w:rPr>
          <w:rFonts w:ascii="Times New Roman" w:hAnsi="Times New Roman"/>
          <w:sz w:val="20"/>
          <w:szCs w:val="20"/>
        </w:rPr>
      </w:pPr>
      <w:r w:rsidRPr="006B40A6">
        <w:rPr>
          <w:rFonts w:ascii="Times New Roman" w:hAnsi="Times New Roman"/>
          <w:sz w:val="20"/>
          <w:szCs w:val="20"/>
        </w:rPr>
        <w:t>1) rashode i izdatke za trogodišnji period, iskazane po budžetskoj klasifikaciji;</w:t>
      </w:r>
    </w:p>
    <w:p w:rsidR="006B40A6" w:rsidRPr="006B40A6" w:rsidRDefault="006B40A6" w:rsidP="006B40A6">
      <w:pPr>
        <w:ind w:firstLine="720"/>
        <w:rPr>
          <w:rFonts w:ascii="Times New Roman" w:hAnsi="Times New Roman"/>
          <w:sz w:val="20"/>
          <w:szCs w:val="20"/>
        </w:rPr>
      </w:pPr>
      <w:r w:rsidRPr="006B40A6">
        <w:rPr>
          <w:rFonts w:ascii="Times New Roman" w:hAnsi="Times New Roman"/>
          <w:sz w:val="20"/>
          <w:szCs w:val="20"/>
        </w:rPr>
        <w:t>2) detalјno pisano obrazloženje rashoda i izdataka, kao i izvora finansiranja.</w:t>
      </w:r>
    </w:p>
    <w:p w:rsidR="006B40A6" w:rsidRPr="006B40A6" w:rsidRDefault="006B40A6" w:rsidP="006B40A6">
      <w:pPr>
        <w:ind w:firstLine="720"/>
        <w:rPr>
          <w:rFonts w:ascii="Times New Roman" w:hAnsi="Times New Roman"/>
          <w:sz w:val="20"/>
          <w:szCs w:val="20"/>
        </w:rPr>
      </w:pPr>
      <w:r w:rsidRPr="006B40A6">
        <w:rPr>
          <w:rFonts w:ascii="Times New Roman" w:hAnsi="Times New Roman"/>
          <w:sz w:val="20"/>
          <w:szCs w:val="20"/>
        </w:rPr>
        <w:t>Direktni korisnici obavezni su da, u skladu sa smernicama i rokovima, traže od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indirektnih korisnika za koje su odgovorni, da dostave podatke neophodne za izradu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predloga finansijskog plana direktnog budžetskog korisnika.</w:t>
      </w:r>
    </w:p>
    <w:p w:rsidR="006B40A6" w:rsidRPr="006B40A6" w:rsidRDefault="006B40A6" w:rsidP="006B40A6">
      <w:pPr>
        <w:ind w:firstLine="720"/>
        <w:rPr>
          <w:rFonts w:ascii="Times New Roman" w:hAnsi="Times New Roman"/>
          <w:sz w:val="20"/>
          <w:szCs w:val="20"/>
        </w:rPr>
      </w:pPr>
      <w:r w:rsidRPr="006B40A6">
        <w:rPr>
          <w:rFonts w:ascii="Times New Roman" w:hAnsi="Times New Roman"/>
          <w:sz w:val="20"/>
          <w:szCs w:val="20"/>
        </w:rPr>
        <w:t>Istim članom je predviđeno i da lokalni organ uprave nadležan za finansije može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da traži neposredno od indirektnih budžetskih korisnika podatke o finansiranju.</w:t>
      </w:r>
    </w:p>
    <w:p w:rsidR="006B40A6" w:rsidRPr="006B40A6" w:rsidRDefault="006B40A6" w:rsidP="006B40A6">
      <w:pPr>
        <w:ind w:firstLine="720"/>
        <w:rPr>
          <w:rFonts w:ascii="Times New Roman" w:hAnsi="Times New Roman"/>
          <w:sz w:val="20"/>
          <w:szCs w:val="20"/>
        </w:rPr>
      </w:pPr>
      <w:r w:rsidRPr="006B40A6">
        <w:rPr>
          <w:rFonts w:ascii="Times New Roman" w:hAnsi="Times New Roman"/>
          <w:sz w:val="20"/>
          <w:szCs w:val="20"/>
        </w:rPr>
        <w:t>Članom 41. Zakona o budžetskom sistemu definisano je da su indirektni korisnici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sredstava budžeta lokalne vlasti obavezni da pripreme predlog finansijskog plana na osnovu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>smernica koje se odnose na budžet lokalne vlasti.</w:t>
      </w:r>
    </w:p>
    <w:p w:rsidR="006B40A6" w:rsidRPr="006B40A6" w:rsidRDefault="006B40A6" w:rsidP="006B40A6">
      <w:pPr>
        <w:ind w:firstLine="720"/>
        <w:rPr>
          <w:rFonts w:ascii="Times New Roman" w:hAnsi="Times New Roman"/>
          <w:sz w:val="20"/>
          <w:szCs w:val="20"/>
        </w:rPr>
      </w:pPr>
      <w:r w:rsidRPr="006B40A6">
        <w:rPr>
          <w:rFonts w:ascii="Times New Roman" w:hAnsi="Times New Roman"/>
          <w:sz w:val="20"/>
          <w:szCs w:val="20"/>
        </w:rPr>
        <w:t>Članom 112. Zakona o budžetskom sistemu (prelazne i završne odredbe) uređeno je da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 xml:space="preserve">će se odredbe ovog Zakona, u delu koji se odnosi na </w:t>
      </w:r>
      <w:r w:rsidRPr="006B40A6">
        <w:rPr>
          <w:rFonts w:ascii="Times New Roman" w:hAnsi="Times New Roman"/>
          <w:b/>
          <w:bCs/>
          <w:sz w:val="20"/>
          <w:szCs w:val="20"/>
        </w:rPr>
        <w:t>programski deo budžeta</w:t>
      </w:r>
      <w:r w:rsidRPr="006B40A6">
        <w:rPr>
          <w:rFonts w:ascii="Times New Roman" w:hAnsi="Times New Roman"/>
          <w:sz w:val="20"/>
          <w:szCs w:val="20"/>
        </w:rPr>
        <w:t xml:space="preserve">, </w:t>
      </w:r>
      <w:r w:rsidRPr="006B40A6">
        <w:rPr>
          <w:rFonts w:ascii="Times New Roman" w:hAnsi="Times New Roman"/>
          <w:b/>
          <w:bCs/>
          <w:sz w:val="20"/>
          <w:szCs w:val="20"/>
        </w:rPr>
        <w:t>primenjivati</w:t>
      </w:r>
      <w:r w:rsidRPr="006B40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sz w:val="20"/>
          <w:szCs w:val="20"/>
        </w:rPr>
        <w:t xml:space="preserve">postepenim uvođenjem za pojedine korisnike sredstava budžeta Republike Srbije, a </w:t>
      </w:r>
      <w:r w:rsidRPr="006B40A6">
        <w:rPr>
          <w:rFonts w:ascii="Times New Roman" w:hAnsi="Times New Roman"/>
          <w:b/>
          <w:bCs/>
          <w:sz w:val="20"/>
          <w:szCs w:val="20"/>
        </w:rPr>
        <w:t>u celini</w:t>
      </w:r>
      <w:r w:rsidRPr="006B40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b/>
          <w:bCs/>
          <w:sz w:val="20"/>
          <w:szCs w:val="20"/>
        </w:rPr>
        <w:t xml:space="preserve">od donošenja </w:t>
      </w:r>
      <w:r w:rsidRPr="006B40A6">
        <w:rPr>
          <w:rFonts w:ascii="Times New Roman" w:hAnsi="Times New Roman"/>
          <w:sz w:val="20"/>
          <w:szCs w:val="20"/>
        </w:rPr>
        <w:t xml:space="preserve">Zakona o budžetu Republike Srbije </w:t>
      </w:r>
      <w:r w:rsidRPr="006B40A6">
        <w:rPr>
          <w:rFonts w:ascii="Times New Roman" w:hAnsi="Times New Roman"/>
          <w:b/>
          <w:bCs/>
          <w:sz w:val="20"/>
          <w:szCs w:val="20"/>
        </w:rPr>
        <w:t>i odluka lokalne vlasti za 2015. godinu</w:t>
      </w:r>
      <w:r w:rsidRPr="006B40A6">
        <w:rPr>
          <w:rFonts w:ascii="Times New Roman" w:hAnsi="Times New Roman"/>
          <w:sz w:val="20"/>
          <w:szCs w:val="20"/>
        </w:rPr>
        <w:t>.</w:t>
      </w:r>
    </w:p>
    <w:p w:rsidR="006B40A6" w:rsidRPr="006B40A6" w:rsidRDefault="006B40A6" w:rsidP="006B40A6">
      <w:pPr>
        <w:ind w:firstLine="720"/>
        <w:rPr>
          <w:rFonts w:ascii="Times New Roman" w:hAnsi="Times New Roman"/>
          <w:sz w:val="20"/>
          <w:szCs w:val="20"/>
        </w:rPr>
      </w:pPr>
      <w:r w:rsidRPr="006B40A6">
        <w:rPr>
          <w:rFonts w:ascii="Times New Roman" w:hAnsi="Times New Roman"/>
          <w:sz w:val="20"/>
          <w:szCs w:val="20"/>
        </w:rPr>
        <w:t xml:space="preserve">Na sajtu Ministarstva finansija objavlјeno je </w:t>
      </w:r>
      <w:r w:rsidRPr="006B40A6">
        <w:rPr>
          <w:rFonts w:ascii="Times New Roman" w:hAnsi="Times New Roman"/>
          <w:b/>
          <w:bCs/>
          <w:sz w:val="20"/>
          <w:szCs w:val="20"/>
        </w:rPr>
        <w:t>Uputstvo za pripremu programskog</w:t>
      </w:r>
      <w:r w:rsidRPr="006B40A6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6B40A6">
        <w:rPr>
          <w:rFonts w:ascii="Times New Roman" w:hAnsi="Times New Roman"/>
          <w:b/>
          <w:bCs/>
          <w:sz w:val="20"/>
          <w:szCs w:val="20"/>
        </w:rPr>
        <w:t xml:space="preserve">budžeta </w:t>
      </w:r>
      <w:r w:rsidRPr="006B40A6">
        <w:rPr>
          <w:rFonts w:ascii="Times New Roman" w:hAnsi="Times New Roman"/>
          <w:sz w:val="20"/>
          <w:szCs w:val="20"/>
        </w:rPr>
        <w:t>za novi način planiranja i iskazivanja podataka u programskom budžetu.</w:t>
      </w:r>
    </w:p>
    <w:p w:rsid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CA0023" w:rsidRPr="006B40A6" w:rsidRDefault="00CA0023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6B40A6" w:rsidRPr="006B40A6" w:rsidRDefault="006B40A6" w:rsidP="006B40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lang w:val="sr-Cyrl-CS"/>
        </w:rPr>
      </w:pPr>
      <w:r w:rsidRPr="006B40A6">
        <w:rPr>
          <w:rFonts w:ascii="Times New Roman" w:hAnsi="Times New Roman"/>
          <w:b/>
          <w:bCs/>
          <w:sz w:val="20"/>
          <w:szCs w:val="20"/>
        </w:rPr>
        <w:t>OPŠTI DEO</w:t>
      </w:r>
    </w:p>
    <w:p w:rsidR="006B40A6" w:rsidRPr="006B40A6" w:rsidRDefault="006B40A6" w:rsidP="006B40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6B40A6" w:rsidRDefault="006B40A6" w:rsidP="006B40A6">
      <w:pPr>
        <w:pStyle w:val="NoSpacing"/>
        <w:ind w:firstLine="720"/>
        <w:rPr>
          <w:rFonts w:ascii="Times New Roman" w:hAnsi="Times New Roman"/>
          <w:sz w:val="20"/>
          <w:szCs w:val="20"/>
        </w:rPr>
      </w:pPr>
      <w:r w:rsidRPr="006B40A6">
        <w:rPr>
          <w:rFonts w:ascii="Times New Roman" w:hAnsi="Times New Roman"/>
          <w:sz w:val="20"/>
          <w:szCs w:val="20"/>
        </w:rPr>
        <w:t xml:space="preserve">Uputstvo za pripremu budžeta </w:t>
      </w:r>
      <w:r w:rsidRPr="006B40A6">
        <w:rPr>
          <w:rFonts w:ascii="Times New Roman" w:hAnsi="Times New Roman"/>
          <w:sz w:val="20"/>
          <w:szCs w:val="20"/>
          <w:lang w:val="sr-Cyrl-CS"/>
        </w:rPr>
        <w:t xml:space="preserve">opštine </w:t>
      </w:r>
      <w:r w:rsidR="007C2656">
        <w:rPr>
          <w:rFonts w:ascii="Times New Roman" w:hAnsi="Times New Roman"/>
          <w:sz w:val="20"/>
          <w:szCs w:val="20"/>
          <w:lang w:val="sr-Latn-CS"/>
        </w:rPr>
        <w:t>Tutin</w:t>
      </w:r>
      <w:r w:rsidRPr="006B40A6">
        <w:rPr>
          <w:rFonts w:ascii="Times New Roman" w:hAnsi="Times New Roman"/>
          <w:sz w:val="20"/>
          <w:szCs w:val="20"/>
        </w:rPr>
        <w:t xml:space="preserve"> za 2016. sa projekcijama za 2017. i 2018.godinu sadrži:</w:t>
      </w:r>
    </w:p>
    <w:p w:rsidR="006B40A6" w:rsidRPr="006B40A6" w:rsidRDefault="006B40A6" w:rsidP="006B40A6">
      <w:pPr>
        <w:pStyle w:val="NoSpacing"/>
        <w:rPr>
          <w:rFonts w:ascii="Times New Roman" w:hAnsi="Times New Roman"/>
          <w:sz w:val="20"/>
          <w:szCs w:val="20"/>
        </w:rPr>
      </w:pPr>
    </w:p>
    <w:p w:rsidR="006B40A6" w:rsidRPr="000313C8" w:rsidRDefault="006B40A6" w:rsidP="006B40A6">
      <w:pPr>
        <w:pStyle w:val="NoSpacing"/>
        <w:rPr>
          <w:rFonts w:ascii="Times New Roman" w:hAnsi="Times New Roman"/>
          <w:b/>
          <w:sz w:val="20"/>
          <w:szCs w:val="20"/>
        </w:rPr>
      </w:pPr>
      <w:r w:rsidRPr="000313C8">
        <w:rPr>
          <w:rFonts w:ascii="Times New Roman" w:hAnsi="Times New Roman"/>
          <w:b/>
          <w:sz w:val="20"/>
          <w:szCs w:val="20"/>
        </w:rPr>
        <w:t xml:space="preserve">1) osnovne ekonomske pretpostavke i smernice za pripremu budžeta </w:t>
      </w:r>
      <w:r w:rsidRPr="000313C8">
        <w:rPr>
          <w:rFonts w:ascii="Times New Roman" w:hAnsi="Times New Roman"/>
          <w:b/>
          <w:sz w:val="20"/>
          <w:szCs w:val="20"/>
          <w:lang w:val="sr-Cyrl-CS"/>
        </w:rPr>
        <w:t xml:space="preserve">opštine </w:t>
      </w:r>
      <w:r w:rsidR="007C2656">
        <w:rPr>
          <w:rFonts w:ascii="Times New Roman" w:hAnsi="Times New Roman"/>
          <w:b/>
          <w:sz w:val="20"/>
          <w:szCs w:val="20"/>
          <w:lang w:val="sr-Latn-CS"/>
        </w:rPr>
        <w:t>Tutin</w:t>
      </w:r>
      <w:r w:rsidRPr="000313C8">
        <w:rPr>
          <w:rFonts w:ascii="Times New Roman" w:hAnsi="Times New Roman"/>
          <w:b/>
          <w:sz w:val="20"/>
          <w:szCs w:val="20"/>
        </w:rPr>
        <w:t xml:space="preserve"> za</w:t>
      </w:r>
      <w:r w:rsidRPr="000313C8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0313C8">
        <w:rPr>
          <w:rFonts w:ascii="Times New Roman" w:hAnsi="Times New Roman"/>
          <w:b/>
          <w:sz w:val="20"/>
          <w:szCs w:val="20"/>
        </w:rPr>
        <w:t>2016. i naredne dve godine,</w:t>
      </w:r>
    </w:p>
    <w:p w:rsidR="006B40A6" w:rsidRPr="000313C8" w:rsidRDefault="006B40A6" w:rsidP="006B40A6">
      <w:pPr>
        <w:pStyle w:val="NoSpacing"/>
        <w:rPr>
          <w:rFonts w:ascii="Times New Roman" w:hAnsi="Times New Roman"/>
          <w:b/>
          <w:sz w:val="20"/>
          <w:szCs w:val="20"/>
        </w:rPr>
      </w:pPr>
      <w:r w:rsidRPr="000313C8">
        <w:rPr>
          <w:rFonts w:ascii="Times New Roman" w:hAnsi="Times New Roman"/>
          <w:b/>
          <w:sz w:val="20"/>
          <w:szCs w:val="20"/>
        </w:rPr>
        <w:t>2) opis planirane politike lokalne vlasti u 2016. i naredne dve fiskalne godine,</w:t>
      </w:r>
    </w:p>
    <w:p w:rsidR="006B40A6" w:rsidRPr="000313C8" w:rsidRDefault="006B40A6" w:rsidP="006B40A6">
      <w:pPr>
        <w:pStyle w:val="NoSpacing"/>
        <w:rPr>
          <w:rFonts w:ascii="Times New Roman" w:hAnsi="Times New Roman"/>
          <w:b/>
          <w:sz w:val="20"/>
          <w:szCs w:val="20"/>
        </w:rPr>
      </w:pPr>
      <w:r w:rsidRPr="000313C8">
        <w:rPr>
          <w:rFonts w:ascii="Times New Roman" w:hAnsi="Times New Roman"/>
          <w:b/>
          <w:sz w:val="20"/>
          <w:szCs w:val="20"/>
        </w:rPr>
        <w:t>3) procenu prihoda i primanja i rashoda i izdataka za 2016. godinu i naredne dve</w:t>
      </w:r>
      <w:r w:rsidRPr="000313C8">
        <w:rPr>
          <w:rFonts w:ascii="Times New Roman" w:hAnsi="Times New Roman"/>
          <w:b/>
          <w:sz w:val="20"/>
          <w:szCs w:val="20"/>
          <w:lang w:val="sr-Cyrl-CS"/>
        </w:rPr>
        <w:t xml:space="preserve"> </w:t>
      </w:r>
      <w:r w:rsidRPr="000313C8">
        <w:rPr>
          <w:rFonts w:ascii="Times New Roman" w:hAnsi="Times New Roman"/>
          <w:b/>
          <w:sz w:val="20"/>
          <w:szCs w:val="20"/>
        </w:rPr>
        <w:t>fiskalne godine,</w:t>
      </w:r>
    </w:p>
    <w:p w:rsidR="006B40A6" w:rsidRPr="000313C8" w:rsidRDefault="000B2FC9" w:rsidP="006B40A6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</w:t>
      </w:r>
      <w:r w:rsidR="006B40A6" w:rsidRPr="000313C8">
        <w:rPr>
          <w:rFonts w:ascii="Times New Roman" w:hAnsi="Times New Roman"/>
          <w:b/>
          <w:sz w:val="20"/>
          <w:szCs w:val="20"/>
        </w:rPr>
        <w:t>) smernice za pripremu srednjoročnih planova direktnih korisnika sredstava budžeta,</w:t>
      </w:r>
    </w:p>
    <w:p w:rsidR="006B40A6" w:rsidRPr="000313C8" w:rsidRDefault="000B2FC9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6B40A6" w:rsidRPr="000313C8">
        <w:rPr>
          <w:rFonts w:ascii="Times New Roman" w:hAnsi="Times New Roman"/>
          <w:b/>
          <w:sz w:val="20"/>
          <w:szCs w:val="20"/>
        </w:rPr>
        <w:t xml:space="preserve">) postupak i dinamiku pripreme budžeta </w:t>
      </w:r>
      <w:r w:rsidR="006B40A6" w:rsidRPr="000313C8">
        <w:rPr>
          <w:rFonts w:ascii="Times New Roman" w:hAnsi="Times New Roman"/>
          <w:b/>
          <w:sz w:val="20"/>
          <w:szCs w:val="20"/>
          <w:lang w:val="sr-Cyrl-CS"/>
        </w:rPr>
        <w:t xml:space="preserve">opštine </w:t>
      </w:r>
      <w:r w:rsidR="007C2656">
        <w:rPr>
          <w:rFonts w:ascii="Times New Roman" w:hAnsi="Times New Roman"/>
          <w:b/>
          <w:sz w:val="20"/>
          <w:szCs w:val="20"/>
          <w:lang w:val="sr-Latn-CS"/>
        </w:rPr>
        <w:t>Tutin</w:t>
      </w:r>
      <w:r w:rsidR="006B40A6" w:rsidRPr="000313C8">
        <w:rPr>
          <w:rFonts w:ascii="Times New Roman" w:hAnsi="Times New Roman"/>
          <w:b/>
          <w:sz w:val="20"/>
          <w:szCs w:val="20"/>
        </w:rPr>
        <w:t xml:space="preserve"> i predloga finansijskih planova korisnika sredstava budžeta.</w:t>
      </w:r>
    </w:p>
    <w:p w:rsidR="006B40A6" w:rsidRPr="006B40A6" w:rsidRDefault="006B40A6" w:rsidP="006B40A6">
      <w:pPr>
        <w:ind w:firstLine="72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6B40A6">
        <w:rPr>
          <w:rFonts w:ascii="Times New Roman" w:hAnsi="Times New Roman"/>
          <w:bCs/>
          <w:sz w:val="20"/>
          <w:szCs w:val="20"/>
          <w:lang w:val="ru-RU"/>
        </w:rPr>
        <w:t>Na osnovu sadržaja Uputstva za pripremu budžeta, direktni budžetski korisnici izrađuju predlog finasijskog plana i dostavlјaju ga lokalnom organu uprave nadležnom za finansije. Predlog finansijskog plana se sastoji iz pisanog objašnjenja i tabela koje su sastavni deo ovog upustva. Prilikom popunjavanja ovih obrazaca, pored raspoređivanja sredstava utvrđenih predloženim obimima, korisnici planiraju i rashode koji se finansiraju iz drugih izvora.</w:t>
      </w:r>
    </w:p>
    <w:p w:rsidR="006B40A6" w:rsidRPr="006B40A6" w:rsidRDefault="006B40A6" w:rsidP="006B40A6">
      <w:pPr>
        <w:ind w:firstLine="72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6B40A6">
        <w:rPr>
          <w:rFonts w:ascii="Times New Roman" w:hAnsi="Times New Roman"/>
          <w:bCs/>
          <w:sz w:val="20"/>
          <w:szCs w:val="20"/>
          <w:lang w:val="ru-RU"/>
        </w:rPr>
        <w:t xml:space="preserve">Indirektni budžetski korisnici su obavezni da pripreme predlog finansijskog plana na osnovu smernica koje se odnose na budžet jedinice lokalne samouprave. </w:t>
      </w:r>
      <w:r w:rsidRPr="006B40A6">
        <w:rPr>
          <w:rFonts w:ascii="Times New Roman" w:hAnsi="Times New Roman"/>
          <w:b/>
          <w:bCs/>
          <w:sz w:val="20"/>
          <w:szCs w:val="20"/>
          <w:lang w:val="ru-RU"/>
        </w:rPr>
        <w:t xml:space="preserve">Finansijski planovi indirektnih korisnika budžetskih sredstava dostavlјaju se direktnim budžetskim korisnicima u roku koji odredi nadležni direktni budžetski korisnik i čine sastavni deo predloga finansijskog plana direktnog budžetskog korisnika. </w:t>
      </w:r>
      <w:r w:rsidRPr="006B40A6">
        <w:rPr>
          <w:rFonts w:ascii="Times New Roman" w:hAnsi="Times New Roman"/>
          <w:bCs/>
          <w:sz w:val="20"/>
          <w:szCs w:val="20"/>
          <w:lang w:val="ru-RU"/>
        </w:rPr>
        <w:t xml:space="preserve"> </w:t>
      </w:r>
    </w:p>
    <w:p w:rsidR="006B40A6" w:rsidRPr="006B40A6" w:rsidRDefault="006B40A6" w:rsidP="006B40A6">
      <w:pPr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6B40A6">
        <w:rPr>
          <w:rFonts w:ascii="Times New Roman" w:hAnsi="Times New Roman"/>
          <w:b/>
          <w:bCs/>
          <w:sz w:val="20"/>
          <w:szCs w:val="20"/>
          <w:lang w:val="ru-RU"/>
        </w:rPr>
        <w:t xml:space="preserve">Predlozi finansijskih planova direktnih budžetskih korisnika moraju biti dostavlјeni nadležnom organu koji rukovodi procesom planiranja najkasnije do </w:t>
      </w:r>
      <w:r w:rsidR="00ED120D">
        <w:rPr>
          <w:rFonts w:ascii="Times New Roman" w:hAnsi="Times New Roman"/>
          <w:b/>
          <w:bCs/>
          <w:sz w:val="20"/>
          <w:szCs w:val="20"/>
        </w:rPr>
        <w:t>15</w:t>
      </w:r>
      <w:r w:rsidRPr="006B40A6">
        <w:rPr>
          <w:rFonts w:ascii="Times New Roman" w:hAnsi="Times New Roman"/>
          <w:b/>
          <w:bCs/>
          <w:sz w:val="20"/>
          <w:szCs w:val="20"/>
          <w:lang w:val="ru-RU"/>
        </w:rPr>
        <w:t xml:space="preserve">. </w:t>
      </w:r>
      <w:r w:rsidR="00ED120D">
        <w:rPr>
          <w:rFonts w:ascii="Times New Roman" w:hAnsi="Times New Roman"/>
          <w:b/>
          <w:bCs/>
          <w:sz w:val="20"/>
          <w:szCs w:val="20"/>
          <w:lang w:val="sr-Latn-CS"/>
        </w:rPr>
        <w:t>novem</w:t>
      </w:r>
      <w:r w:rsidRPr="006B40A6">
        <w:rPr>
          <w:rFonts w:ascii="Times New Roman" w:hAnsi="Times New Roman"/>
          <w:b/>
          <w:bCs/>
          <w:sz w:val="20"/>
          <w:szCs w:val="20"/>
          <w:lang w:val="ru-RU"/>
        </w:rPr>
        <w:t>bra tekuće budžetske godine</w:t>
      </w:r>
      <w:r w:rsidRPr="006B40A6">
        <w:rPr>
          <w:rFonts w:ascii="Times New Roman" w:hAnsi="Times New Roman"/>
          <w:bCs/>
          <w:sz w:val="20"/>
          <w:szCs w:val="20"/>
          <w:lang w:val="ru-RU"/>
        </w:rPr>
        <w:t xml:space="preserve">. Lokalni organ uprave nadležan za finansije može da traži </w:t>
      </w:r>
      <w:r w:rsidRPr="006B40A6">
        <w:rPr>
          <w:rFonts w:ascii="Times New Roman" w:hAnsi="Times New Roman"/>
          <w:bCs/>
          <w:sz w:val="20"/>
          <w:szCs w:val="20"/>
          <w:lang w:val="sr-Cyrl-CS"/>
        </w:rPr>
        <w:t>podatke</w:t>
      </w:r>
      <w:r w:rsidRPr="006B40A6">
        <w:rPr>
          <w:rFonts w:ascii="Times New Roman" w:hAnsi="Times New Roman"/>
          <w:bCs/>
          <w:sz w:val="20"/>
          <w:szCs w:val="20"/>
          <w:lang w:val="ru-RU"/>
        </w:rPr>
        <w:t xml:space="preserve"> neposredno od indirektnog budžetskog korisnika o njegovom finansiranju, koji su neophodni za pripremu nacrta odluke o budžetu.</w:t>
      </w:r>
    </w:p>
    <w:p w:rsidR="006B40A6" w:rsidRPr="006B40A6" w:rsidRDefault="006B40A6" w:rsidP="006B40A6">
      <w:pPr>
        <w:ind w:firstLine="72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6B40A6">
        <w:rPr>
          <w:rFonts w:ascii="Times New Roman" w:hAnsi="Times New Roman"/>
          <w:bCs/>
          <w:sz w:val="20"/>
          <w:szCs w:val="20"/>
          <w:lang w:val="ru-RU"/>
        </w:rPr>
        <w:t>Nakon što u datom roku prikupi sva potrebna dokumenta i infomacije, lokalni organ uprave nadležan za finansije otpočinje proceduru razmatranja predloga i zahteva korisnika budžetskih sredstava. Ono se vrši na osnovu njihove usaglašenosti sa cilјevima lokalne politike utvrđene Uputstvom, predloženim obimom njihovih primanja i izdataka, kao i analizom drugih podataka i objašnjenja koji se nalaze u predlogu finansijskih planova.</w:t>
      </w:r>
    </w:p>
    <w:p w:rsidR="006B40A6" w:rsidRPr="006B40A6" w:rsidRDefault="006B40A6" w:rsidP="006B40A6">
      <w:pPr>
        <w:ind w:firstLine="720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6B40A6">
        <w:rPr>
          <w:rFonts w:ascii="Times New Roman" w:hAnsi="Times New Roman"/>
          <w:bCs/>
          <w:sz w:val="20"/>
          <w:szCs w:val="20"/>
          <w:lang w:val="ru-RU"/>
        </w:rPr>
        <w:t xml:space="preserve">Radi dobijanja konačnog uvida u obim i strukturu budžetskih sredstava, lokalni organ uprave nadležan za finansije sagledava sadržaj revidirane Fiskalne strategije. Revidirana Strategija sadrži i pregled nenamenskih i namenskih transfera iz budžeta Republike Srbije pojedinačno za svaku jeninicu lokalne samouprave u zemlјi. </w:t>
      </w:r>
      <w:r w:rsidRPr="006B40A6">
        <w:rPr>
          <w:rFonts w:ascii="Times New Roman" w:hAnsi="Times New Roman"/>
          <w:b/>
          <w:bCs/>
          <w:sz w:val="20"/>
          <w:szCs w:val="20"/>
          <w:lang w:val="ru-RU"/>
        </w:rPr>
        <w:t>Lokalni organ uprave nadležan za finansije treba da uradi, a potom i dostavi nacrt odluke o budžetu nadležnom izršn</w:t>
      </w:r>
      <w:r w:rsidR="00ED120D">
        <w:rPr>
          <w:rFonts w:ascii="Times New Roman" w:hAnsi="Times New Roman"/>
          <w:b/>
          <w:bCs/>
          <w:sz w:val="20"/>
          <w:szCs w:val="20"/>
          <w:lang w:val="ru-RU"/>
        </w:rPr>
        <w:t xml:space="preserve">om organu- Opštinskom veću do </w:t>
      </w:r>
      <w:r w:rsidR="00ED120D">
        <w:rPr>
          <w:rFonts w:ascii="Times New Roman" w:hAnsi="Times New Roman"/>
          <w:b/>
          <w:bCs/>
          <w:sz w:val="20"/>
          <w:szCs w:val="20"/>
          <w:lang w:val="sr-Latn-CS"/>
        </w:rPr>
        <w:t>25</w:t>
      </w:r>
      <w:r w:rsidR="00ED120D">
        <w:rPr>
          <w:rFonts w:ascii="Times New Roman" w:hAnsi="Times New Roman"/>
          <w:b/>
          <w:bCs/>
          <w:sz w:val="20"/>
          <w:szCs w:val="20"/>
          <w:lang w:val="ru-RU"/>
        </w:rPr>
        <w:t>.</w:t>
      </w:r>
      <w:r w:rsidR="00ED120D">
        <w:rPr>
          <w:rFonts w:ascii="Times New Roman" w:hAnsi="Times New Roman"/>
          <w:b/>
          <w:bCs/>
          <w:sz w:val="20"/>
          <w:szCs w:val="20"/>
          <w:lang w:val="sr-Latn-CS"/>
        </w:rPr>
        <w:t>novem</w:t>
      </w:r>
      <w:r w:rsidRPr="006B40A6">
        <w:rPr>
          <w:rFonts w:ascii="Times New Roman" w:hAnsi="Times New Roman"/>
          <w:b/>
          <w:bCs/>
          <w:sz w:val="20"/>
          <w:szCs w:val="20"/>
          <w:lang w:val="ru-RU"/>
        </w:rPr>
        <w:t>bra tekuće budžetske godine.</w:t>
      </w:r>
    </w:p>
    <w:p w:rsidR="006B40A6" w:rsidRPr="006B40A6" w:rsidRDefault="006B40A6" w:rsidP="006B40A6">
      <w:pPr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6B40A6">
        <w:rPr>
          <w:rFonts w:ascii="Times New Roman" w:hAnsi="Times New Roman"/>
          <w:b/>
          <w:bCs/>
          <w:sz w:val="20"/>
          <w:szCs w:val="20"/>
          <w:lang w:val="ru-RU"/>
        </w:rPr>
        <w:t>Izvršni organ lokalne vlasti- Opštinsko  veće dužno je da utvrdi predlog odluke o budžetu i da ga podnese lokalnoj skupštini   najka</w:t>
      </w:r>
      <w:r w:rsidR="00ED120D">
        <w:rPr>
          <w:rFonts w:ascii="Times New Roman" w:hAnsi="Times New Roman"/>
          <w:b/>
          <w:bCs/>
          <w:sz w:val="20"/>
          <w:szCs w:val="20"/>
          <w:lang w:val="ru-RU"/>
        </w:rPr>
        <w:t xml:space="preserve">snije do </w:t>
      </w:r>
      <w:r w:rsidR="00ED120D">
        <w:rPr>
          <w:rFonts w:ascii="Times New Roman" w:hAnsi="Times New Roman"/>
          <w:b/>
          <w:bCs/>
          <w:sz w:val="20"/>
          <w:szCs w:val="20"/>
          <w:lang w:val="sr-Latn-CS"/>
        </w:rPr>
        <w:t>1</w:t>
      </w:r>
      <w:r w:rsidR="00ED120D">
        <w:rPr>
          <w:rFonts w:ascii="Times New Roman" w:hAnsi="Times New Roman"/>
          <w:b/>
          <w:bCs/>
          <w:sz w:val="20"/>
          <w:szCs w:val="20"/>
          <w:lang w:val="ru-RU"/>
        </w:rPr>
        <w:t>. n</w:t>
      </w:r>
      <w:r w:rsidR="00ED120D">
        <w:rPr>
          <w:rFonts w:ascii="Times New Roman" w:hAnsi="Times New Roman"/>
          <w:b/>
          <w:bCs/>
          <w:sz w:val="20"/>
          <w:szCs w:val="20"/>
          <w:lang w:val="sr-Latn-CS"/>
        </w:rPr>
        <w:t>dec</w:t>
      </w:r>
      <w:r w:rsidRPr="006B40A6">
        <w:rPr>
          <w:rFonts w:ascii="Times New Roman" w:hAnsi="Times New Roman"/>
          <w:b/>
          <w:bCs/>
          <w:sz w:val="20"/>
          <w:szCs w:val="20"/>
          <w:lang w:val="ru-RU"/>
        </w:rPr>
        <w:t>embra</w:t>
      </w:r>
      <w:r w:rsidRPr="006B40A6">
        <w:rPr>
          <w:rFonts w:ascii="Times New Roman" w:hAnsi="Times New Roman"/>
          <w:bCs/>
          <w:sz w:val="20"/>
          <w:szCs w:val="20"/>
          <w:lang w:val="ru-RU"/>
        </w:rPr>
        <w:t xml:space="preserve">. Ukoliko nadležni izvršni organ lokalne vlasti ne dostavi predlog budžeta lokalnoj skupštini, ona ima pravo da samostalno pripremi i </w:t>
      </w:r>
      <w:r w:rsidRPr="006B40A6">
        <w:rPr>
          <w:rFonts w:ascii="Times New Roman" w:hAnsi="Times New Roman"/>
          <w:b/>
          <w:bCs/>
          <w:sz w:val="20"/>
          <w:szCs w:val="20"/>
          <w:lang w:val="ru-RU"/>
        </w:rPr>
        <w:t>donese akt o budžetu</w:t>
      </w:r>
      <w:r w:rsidRPr="006B40A6">
        <w:rPr>
          <w:rFonts w:ascii="Times New Roman" w:hAnsi="Times New Roman"/>
          <w:bCs/>
          <w:sz w:val="20"/>
          <w:szCs w:val="20"/>
          <w:lang w:val="ru-RU"/>
        </w:rPr>
        <w:t xml:space="preserve">, čime je onemogućena paraliza u funkcionisanju zakonodavnog tela usled politički uzrokovanih problema ili lošeg rada nosilaca izvršne vlasti. Skupština opštine usvaja Odluku o budžetu </w:t>
      </w:r>
      <w:r w:rsidRPr="006B40A6">
        <w:rPr>
          <w:rFonts w:ascii="Times New Roman" w:hAnsi="Times New Roman"/>
          <w:b/>
          <w:bCs/>
          <w:sz w:val="20"/>
          <w:szCs w:val="20"/>
          <w:lang w:val="ru-RU"/>
        </w:rPr>
        <w:t>najkasnije do 20. decembra</w:t>
      </w:r>
      <w:r w:rsidRPr="006B40A6">
        <w:rPr>
          <w:rFonts w:ascii="Times New Roman" w:hAnsi="Times New Roman"/>
          <w:bCs/>
          <w:sz w:val="20"/>
          <w:szCs w:val="20"/>
          <w:lang w:val="ru-RU"/>
        </w:rPr>
        <w:t xml:space="preserve"> tekuće budžetske godine. </w:t>
      </w:r>
      <w:r w:rsidRPr="006B40A6">
        <w:rPr>
          <w:rFonts w:ascii="Times New Roman" w:hAnsi="Times New Roman"/>
          <w:b/>
          <w:bCs/>
          <w:sz w:val="20"/>
          <w:szCs w:val="20"/>
          <w:lang w:val="ru-RU"/>
        </w:rPr>
        <w:t xml:space="preserve">Lokalni organ uprave nadležan za finansije dužan je da usvojenu Odluku o budžetu dostavi Ministarstvu finansija najkasnije do 25. Decembra tekuće budžetske odine </w:t>
      </w:r>
      <w:r w:rsidRPr="006B40A6">
        <w:rPr>
          <w:rFonts w:ascii="Times New Roman" w:hAnsi="Times New Roman"/>
          <w:bCs/>
          <w:sz w:val="20"/>
          <w:szCs w:val="20"/>
          <w:lang w:val="ru-RU"/>
        </w:rPr>
        <w:t>.</w:t>
      </w:r>
    </w:p>
    <w:p w:rsidR="006B40A6" w:rsidRP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6B40A6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ED120D" w:rsidRDefault="00ED120D" w:rsidP="006B40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ED120D" w:rsidRDefault="00ED120D" w:rsidP="006B40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ED120D" w:rsidRDefault="00ED120D" w:rsidP="006B40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CA0023" w:rsidRPr="006B40A6" w:rsidRDefault="00CA0023" w:rsidP="006B40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6B40A6" w:rsidRPr="004D61BF" w:rsidRDefault="00612B41" w:rsidP="006B40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</w:rPr>
        <w:t>1.</w:t>
      </w:r>
      <w:r w:rsidR="006B40A6" w:rsidRPr="004D61BF">
        <w:rPr>
          <w:rFonts w:ascii="Times New Roman" w:hAnsi="Times New Roman"/>
          <w:b/>
          <w:bCs/>
          <w:sz w:val="20"/>
          <w:szCs w:val="20"/>
        </w:rPr>
        <w:t xml:space="preserve">OSNOVNE EKONOMSKE PRETPOSTAVKE I SMERNICE ZA PRIPREMU NACRTA BUDžETA </w:t>
      </w:r>
      <w:r w:rsidR="006B40A6" w:rsidRPr="004D61BF">
        <w:rPr>
          <w:rFonts w:ascii="Times New Roman" w:hAnsi="Times New Roman"/>
          <w:b/>
          <w:bCs/>
          <w:sz w:val="20"/>
          <w:szCs w:val="20"/>
          <w:lang w:val="sr-Cyrl-CS"/>
        </w:rPr>
        <w:t xml:space="preserve">OPŠTINE </w:t>
      </w:r>
      <w:r w:rsidR="006B40A6" w:rsidRPr="004D61BF">
        <w:rPr>
          <w:rFonts w:ascii="Times New Roman" w:hAnsi="Times New Roman"/>
          <w:b/>
          <w:bCs/>
          <w:sz w:val="20"/>
          <w:szCs w:val="20"/>
        </w:rPr>
        <w:t>ZA NAREDNU FISKALNU GODINU</w:t>
      </w:r>
    </w:p>
    <w:p w:rsidR="006B40A6" w:rsidRPr="004D61BF" w:rsidRDefault="006B40A6" w:rsidP="006B40A6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  <w:lang w:val="sr-Cyrl-CS"/>
        </w:rPr>
        <w:t>K</w:t>
      </w:r>
      <w:r w:rsidRPr="004D61BF">
        <w:rPr>
          <w:rFonts w:ascii="Times New Roman" w:hAnsi="Times New Roman"/>
          <w:sz w:val="20"/>
          <w:szCs w:val="20"/>
        </w:rPr>
        <w:t>ako  Fiskalna strategija za 2016. godinu, kao i Uputstvo za pripremu odluke o budžetu lokalne vlasti za 2016.odinu i projekcije za 2017. i 2018.godinu nisu usvojeni i dostavlјeni, osnovne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smernice u ovom Uputstvu date su na osnovu člana 27e Zakona o budžetskom sistemu, Fiskalne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strategije za 2015. sa projekcijama za 2016. i 2017. godinu, Uputstva za pripremu budžeta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lokalne vlasti za 2015. godinu i projekcijama za 2016. i 2017. godinu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i </w:t>
      </w:r>
      <w:r w:rsidRPr="004D61BF">
        <w:rPr>
          <w:rFonts w:ascii="Times New Roman" w:hAnsi="Times New Roman"/>
          <w:sz w:val="20"/>
          <w:szCs w:val="20"/>
        </w:rPr>
        <w:t>Uputstva za pripremu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programskog budžeta dati od strane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Ministarstva finansija,</w:t>
      </w:r>
      <w:r w:rsidRPr="004D61BF">
        <w:rPr>
          <w:rFonts w:ascii="Times New Roman" w:hAnsi="Times New Roman"/>
          <w:sz w:val="20"/>
          <w:szCs w:val="20"/>
        </w:rPr>
        <w:t xml:space="preserve">i </w:t>
      </w:r>
      <w:r w:rsidR="000313C8" w:rsidRPr="004D61BF">
        <w:rPr>
          <w:rFonts w:ascii="Times New Roman" w:hAnsi="Times New Roman"/>
          <w:sz w:val="20"/>
          <w:szCs w:val="20"/>
        </w:rPr>
        <w:t>g</w:t>
      </w:r>
      <w:r w:rsidRPr="004D61BF">
        <w:rPr>
          <w:rFonts w:ascii="Times New Roman" w:hAnsi="Times New Roman"/>
          <w:sz w:val="20"/>
          <w:szCs w:val="20"/>
        </w:rPr>
        <w:t>ore navedeni Zakona.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 xml:space="preserve"> Fiskalna strategija za 2015. godinu sa projekcijama za 2016. i 2017. godinu (u dalјem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tekstu Fiskalna strategija) je dokument srednjoročnog planiranja budžeta u koji su uklјučene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srednjoročne analize i projekcije republičkog budžeta, budžeta opština i gradova i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vanbudžetskih fondova i sastavni je deo planiranja budžeta za svaku narednu godinu.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 xml:space="preserve">Osnovni cilјevi </w:t>
      </w:r>
      <w:r w:rsidRPr="004D61BF">
        <w:rPr>
          <w:rFonts w:ascii="Times New Roman" w:hAnsi="Times New Roman"/>
          <w:b/>
          <w:bCs/>
          <w:sz w:val="20"/>
          <w:szCs w:val="20"/>
        </w:rPr>
        <w:t xml:space="preserve">ekonomske politike date u Fiskalnoj strateiji za 2015.odinu i projekijama za naredne dve godine </w:t>
      </w:r>
      <w:r w:rsidRPr="004D61BF">
        <w:rPr>
          <w:rFonts w:ascii="Times New Roman" w:hAnsi="Times New Roman"/>
          <w:sz w:val="20"/>
          <w:szCs w:val="20"/>
        </w:rPr>
        <w:t>su:</w:t>
      </w:r>
    </w:p>
    <w:p w:rsidR="006B40A6" w:rsidRPr="004D61BF" w:rsidRDefault="006B40A6" w:rsidP="006B40A6">
      <w:pPr>
        <w:ind w:firstLine="720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Osnovni cilјevi ekonomske politike u narednom srednjoročnom periodu su:</w:t>
      </w:r>
    </w:p>
    <w:p w:rsidR="006B40A6" w:rsidRPr="004D61BF" w:rsidRDefault="006B40A6" w:rsidP="006B40A6">
      <w:pPr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1.uspostavlјanje makroekonomske stabilnosti sprovođenjem mera fiskalne konsolidacije i jačanjem stabilnosti finansijskog sektora;</w:t>
      </w:r>
    </w:p>
    <w:p w:rsidR="006B40A6" w:rsidRPr="004D61BF" w:rsidRDefault="006B40A6" w:rsidP="006B40A6">
      <w:pPr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2.otklanjanje prepreka rastu privredne aktivnosti i konkurentnosti sprovođenjem  sveobuhvatnih strukturnih reformi.</w:t>
      </w:r>
    </w:p>
    <w:p w:rsidR="006B40A6" w:rsidRPr="004D61BF" w:rsidRDefault="006B40A6" w:rsidP="006B40A6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 xml:space="preserve">Vlada, u narednom periodu, vodi  ekonomsku politiku usmerenu na kreiranje stabilnog i predvidivog poslovnog ambijenta neophodnog za rast privredne aktivnosti i povećanje udela privatnog sektora u proizvodnji, zapošlјavanju i investicijama. U tom cilјu, u prethodnom periodu, usvojen je veći broj reformskih zakona čija primena treba da dovede do otklanjanja strukturnih slabosti privrede i stvaranja osnove za dugoročno održiv rast. </w:t>
      </w:r>
    </w:p>
    <w:p w:rsidR="006B40A6" w:rsidRPr="004D61BF" w:rsidRDefault="006B40A6" w:rsidP="006B40A6">
      <w:pPr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 xml:space="preserve">Među najznačajnijim zakonskim rešenjima su Zakon o izmenama i dopunama Zakona o radu, Zakon o privatizaciji, Zakon o izmenama i dopunama Zakona o stečaju, Zakon o izmenama i dopunama Zakona o planiranju i izgradnji, Zakon o izmenama i dopunama Zakona o penzijskom i invalidskom osiguranju i dr.Ekonomskom restrukturiranju srpske privrede značajno će doprineti smanjenje neracionalne javne potrošnje i promena modela finansiranja investicija čime bi se podstakao privredni rast i zapošlјavanje. </w:t>
      </w:r>
    </w:p>
    <w:p w:rsidR="006B40A6" w:rsidRPr="004D61BF" w:rsidRDefault="006B40A6" w:rsidP="006B40A6">
      <w:pPr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Smanjivanjem neracionalne potrošnje, birokratije i nepotrebnih troškova države stvoriće se mogućnost za povećanje investicione aktivnosti kako bi se podstakao privrednirast i zapošlјavanje, uz očuvanje nivoa socijalne zaštite najugroženijih slojeva društva. U tome klјučnu ulogu imaju fiskalna politika i sveobuhvatna reforma privrednog sistema.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color w:val="C00000"/>
          <w:sz w:val="20"/>
          <w:szCs w:val="20"/>
        </w:rPr>
        <w:t xml:space="preserve">Osnovni cilјevi i prioriteti </w:t>
      </w:r>
      <w:r w:rsidRPr="004D61BF">
        <w:rPr>
          <w:rFonts w:ascii="Times New Roman" w:hAnsi="Times New Roman"/>
          <w:b/>
          <w:bCs/>
          <w:color w:val="C00000"/>
          <w:sz w:val="20"/>
          <w:szCs w:val="20"/>
        </w:rPr>
        <w:t>fiskalne politike</w:t>
      </w:r>
      <w:r w:rsidRPr="004D61BF">
        <w:rPr>
          <w:rFonts w:ascii="Times New Roman" w:hAnsi="Times New Roman"/>
          <w:b/>
          <w:bCs/>
          <w:color w:val="C00000"/>
          <w:sz w:val="20"/>
          <w:szCs w:val="20"/>
          <w:lang w:val="sr-Cyrl-CS"/>
        </w:rPr>
        <w:t>,</w:t>
      </w:r>
      <w:r w:rsidRPr="004D61BF">
        <w:rPr>
          <w:rFonts w:ascii="Times New Roman" w:hAnsi="Times New Roman"/>
          <w:color w:val="C00000"/>
          <w:sz w:val="20"/>
          <w:szCs w:val="20"/>
          <w:lang w:val="sr-Cyrl-CS"/>
        </w:rPr>
        <w:t xml:space="preserve"> kao klјučna komponenta makroekonomske stabilnosti</w:t>
      </w:r>
      <w:r w:rsidRPr="004D61BF">
        <w:rPr>
          <w:rFonts w:ascii="Times New Roman" w:hAnsi="Times New Roman"/>
          <w:b/>
          <w:bCs/>
          <w:color w:val="C00000"/>
          <w:sz w:val="20"/>
          <w:szCs w:val="20"/>
        </w:rPr>
        <w:t xml:space="preserve"> </w:t>
      </w:r>
      <w:r w:rsidRPr="004D61BF">
        <w:rPr>
          <w:rFonts w:ascii="Times New Roman" w:hAnsi="Times New Roman"/>
          <w:color w:val="C00000"/>
          <w:sz w:val="20"/>
          <w:szCs w:val="20"/>
        </w:rPr>
        <w:t>u narednom periodu su:</w:t>
      </w:r>
    </w:p>
    <w:p w:rsidR="006B40A6" w:rsidRPr="004D61BF" w:rsidRDefault="006B40A6" w:rsidP="006B40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snižavanje udela javnih rashoda, fiskalnog deficita i javnog duga u BDP;</w:t>
      </w:r>
    </w:p>
    <w:p w:rsidR="006B40A6" w:rsidRPr="004D61BF" w:rsidRDefault="006B40A6" w:rsidP="006B40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jačanje poreske discipline koja podrazumeva pobolјšanje sistema naplate poreza i smanjenje</w:t>
      </w:r>
    </w:p>
    <w:p w:rsidR="006B40A6" w:rsidRPr="004D61BF" w:rsidRDefault="006B40A6" w:rsidP="006B40A6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 xml:space="preserve"> sive ekonomije;</w:t>
      </w:r>
    </w:p>
    <w:p w:rsidR="006B40A6" w:rsidRPr="004D61BF" w:rsidRDefault="006B40A6" w:rsidP="006B40A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 xml:space="preserve">jačanje dugoročne fiskalne održivosti kroz sprovođenje strukturnih reformi, posebno </w:t>
      </w:r>
      <w:r w:rsidRPr="004D61BF">
        <w:rPr>
          <w:rFonts w:ascii="Times New Roman" w:hAnsi="Times New Roman"/>
          <w:color w:val="000000"/>
          <w:sz w:val="20"/>
          <w:szCs w:val="20"/>
        </w:rPr>
        <w:t>reformi javnog sektora.</w:t>
      </w:r>
    </w:p>
    <w:p w:rsidR="006B40A6" w:rsidRPr="004D61BF" w:rsidRDefault="006B40A6" w:rsidP="006B40A6">
      <w:pPr>
        <w:jc w:val="both"/>
        <w:rPr>
          <w:rFonts w:ascii="Times New Roman" w:hAnsi="Times New Roman"/>
          <w:color w:val="000000"/>
          <w:sz w:val="20"/>
          <w:szCs w:val="20"/>
          <w:lang w:val="sr-Cyrl-CS"/>
        </w:rPr>
      </w:pP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ab/>
      </w: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Smernice politike regulisanih cena 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>biće usmerena na politiku usklađivanja regulisanih cena na ekonomskim principima, polazeći od sagledavanja efekata na makroekonomsku stabilnost i kupovnu snagu stanovništva. Na bazi projektovane inflacije nadležni državni organi odobravaju povećanje cena koje su pod kontrolom države.</w:t>
      </w:r>
    </w:p>
    <w:p w:rsidR="006B40A6" w:rsidRPr="00ED120D" w:rsidRDefault="006B40A6" w:rsidP="00ED120D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  <w:lang w:val="sr-Latn-CS"/>
        </w:rPr>
      </w:pP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ab/>
        <w:t>P</w:t>
      </w:r>
      <w:r w:rsidRPr="004D61BF">
        <w:rPr>
          <w:rFonts w:ascii="Times New Roman" w:hAnsi="Times New Roman"/>
          <w:color w:val="000000"/>
          <w:sz w:val="20"/>
          <w:szCs w:val="20"/>
        </w:rPr>
        <w:t>regled pojedinih makroekonomskih pokazatelјa koji su od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color w:val="000000"/>
          <w:sz w:val="20"/>
          <w:szCs w:val="20"/>
        </w:rPr>
        <w:t xml:space="preserve">značaja za izradu Budžeta 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>opštine Mali Zvornik</w:t>
      </w:r>
      <w:r w:rsidRPr="004D61BF">
        <w:rPr>
          <w:rFonts w:ascii="Times New Roman" w:hAnsi="Times New Roman"/>
          <w:color w:val="000000"/>
          <w:sz w:val="20"/>
          <w:szCs w:val="20"/>
        </w:rPr>
        <w:t xml:space="preserve"> za 2016. i naredne dve fiskalne godine.</w:t>
      </w:r>
    </w:p>
    <w:p w:rsidR="006B40A6" w:rsidRPr="004D61BF" w:rsidRDefault="006B40A6" w:rsidP="00612B41">
      <w:pPr>
        <w:ind w:firstLine="720"/>
        <w:jc w:val="both"/>
        <w:rPr>
          <w:rFonts w:ascii="Times New Roman" w:hAnsi="Times New Roman"/>
          <w:color w:val="000000"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lastRenderedPageBreak/>
        <w:t>PROJEKCIJA OSNOVNIH MAKROEKONOMSKIH POKAZATELjA REPUBLIKE SRBIJE U PERIODU</w:t>
      </w:r>
      <w:r w:rsidR="007C2656"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 201</w:t>
      </w:r>
      <w:r w:rsidR="007C2656" w:rsidRPr="004D61BF">
        <w:rPr>
          <w:rFonts w:ascii="Times New Roman" w:hAnsi="Times New Roman"/>
          <w:b/>
          <w:color w:val="000000"/>
          <w:sz w:val="20"/>
          <w:szCs w:val="20"/>
          <w:lang w:val="sr-Latn-CS"/>
        </w:rPr>
        <w:t>5</w:t>
      </w:r>
      <w:r w:rsidR="007C2656"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>-201</w:t>
      </w:r>
      <w:r w:rsidR="007C2656" w:rsidRPr="004D61BF">
        <w:rPr>
          <w:rFonts w:ascii="Times New Roman" w:hAnsi="Times New Roman"/>
          <w:b/>
          <w:color w:val="000000"/>
          <w:sz w:val="20"/>
          <w:szCs w:val="20"/>
          <w:lang w:val="sr-Latn-CS"/>
        </w:rPr>
        <w:t>8</w:t>
      </w: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.GODINA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26"/>
        <w:gridCol w:w="1562"/>
        <w:gridCol w:w="1650"/>
        <w:gridCol w:w="1559"/>
        <w:gridCol w:w="1701"/>
      </w:tblGrid>
      <w:tr w:rsidR="006B40A6" w:rsidRPr="004D61BF" w:rsidTr="007C2656">
        <w:trPr>
          <w:trHeight w:val="32"/>
        </w:trPr>
        <w:tc>
          <w:tcPr>
            <w:tcW w:w="4126" w:type="dxa"/>
            <w:shd w:val="clear" w:color="auto" w:fill="auto"/>
          </w:tcPr>
          <w:p w:rsidR="006B40A6" w:rsidRPr="004D61BF" w:rsidRDefault="006B40A6" w:rsidP="001B50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</w:p>
          <w:p w:rsidR="006B40A6" w:rsidRPr="004D61BF" w:rsidRDefault="006B40A6" w:rsidP="001B50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PROCENA</w:t>
            </w:r>
          </w:p>
        </w:tc>
        <w:tc>
          <w:tcPr>
            <w:tcW w:w="491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7C265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P R O J E K C I J A</w:t>
            </w:r>
          </w:p>
        </w:tc>
      </w:tr>
      <w:tr w:rsidR="006B40A6" w:rsidRPr="004D61BF" w:rsidTr="007C2656">
        <w:trPr>
          <w:trHeight w:val="32"/>
        </w:trPr>
        <w:tc>
          <w:tcPr>
            <w:tcW w:w="4126" w:type="dxa"/>
            <w:shd w:val="clear" w:color="auto" w:fill="auto"/>
          </w:tcPr>
          <w:p w:rsidR="006B40A6" w:rsidRPr="004D61BF" w:rsidRDefault="006B40A6" w:rsidP="001B50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2015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2016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2017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2018</w:t>
            </w:r>
          </w:p>
        </w:tc>
      </w:tr>
      <w:tr w:rsidR="006B40A6" w:rsidRPr="004D61BF" w:rsidTr="007C2656">
        <w:trPr>
          <w:trHeight w:val="32"/>
        </w:trPr>
        <w:tc>
          <w:tcPr>
            <w:tcW w:w="4126" w:type="dxa"/>
            <w:shd w:val="clear" w:color="auto" w:fill="auto"/>
          </w:tcPr>
          <w:p w:rsidR="006B40A6" w:rsidRPr="004D61BF" w:rsidRDefault="006B40A6" w:rsidP="001B50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BDP, milrd. u tekućim cenama 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3,970.50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4,195.30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4,454.60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4,454,60</w:t>
            </w:r>
          </w:p>
        </w:tc>
      </w:tr>
      <w:tr w:rsidR="006B40A6" w:rsidRPr="004D61BF" w:rsidTr="007C2656">
        <w:trPr>
          <w:trHeight w:val="32"/>
        </w:trPr>
        <w:tc>
          <w:tcPr>
            <w:tcW w:w="4126" w:type="dxa"/>
            <w:shd w:val="clear" w:color="auto" w:fill="auto"/>
          </w:tcPr>
          <w:p w:rsidR="006B40A6" w:rsidRPr="004D61BF" w:rsidRDefault="006B40A6" w:rsidP="001B50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Stopa realanog rast aBDP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- 0.5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1,5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2,</w:t>
            </w:r>
            <w:r w:rsidRPr="004D61B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B40A6" w:rsidRPr="004D61BF" w:rsidTr="007C2656">
        <w:trPr>
          <w:trHeight w:val="497"/>
        </w:trPr>
        <w:tc>
          <w:tcPr>
            <w:tcW w:w="4126" w:type="dxa"/>
            <w:shd w:val="clear" w:color="auto" w:fill="auto"/>
          </w:tcPr>
          <w:p w:rsidR="006B40A6" w:rsidRPr="004D61BF" w:rsidRDefault="006B40A6" w:rsidP="001B50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Realni rast poojedinih</w:t>
            </w:r>
            <w:r w:rsidRPr="004D61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komponenti BDP, %</w:t>
            </w:r>
          </w:p>
          <w:p w:rsidR="006B40A6" w:rsidRPr="004D61BF" w:rsidRDefault="006B40A6" w:rsidP="006B40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Lična potrošnja</w:t>
            </w:r>
          </w:p>
          <w:p w:rsidR="006B40A6" w:rsidRPr="004D61BF" w:rsidRDefault="006B40A6" w:rsidP="006B40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Državna potrošnja</w:t>
            </w:r>
          </w:p>
          <w:p w:rsidR="006B40A6" w:rsidRPr="004D61BF" w:rsidRDefault="006B40A6" w:rsidP="006B40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Investiciona potrošnja</w:t>
            </w:r>
          </w:p>
          <w:p w:rsidR="006B40A6" w:rsidRPr="004D61BF" w:rsidRDefault="006B40A6" w:rsidP="006B40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Izvoz robe i usluga</w:t>
            </w:r>
          </w:p>
          <w:p w:rsidR="006B40A6" w:rsidRPr="004D61BF" w:rsidRDefault="006B40A6" w:rsidP="006B40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Uvoz robe i usluga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- 3,0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- 7,4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0,9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3,1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- 1,5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- 1,0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- 5,8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1,2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5,0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2,9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- 1,</w:t>
            </w: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 xml:space="preserve">- </w:t>
            </w: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,0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1,2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6,6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4,6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- 1,5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- 4,0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1,2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6,6</w:t>
            </w:r>
          </w:p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4,6</w:t>
            </w:r>
          </w:p>
        </w:tc>
      </w:tr>
      <w:tr w:rsidR="006B40A6" w:rsidRPr="004D61BF" w:rsidTr="007C2656">
        <w:trPr>
          <w:trHeight w:val="294"/>
        </w:trPr>
        <w:tc>
          <w:tcPr>
            <w:tcW w:w="4126" w:type="dxa"/>
            <w:shd w:val="clear" w:color="auto" w:fill="auto"/>
          </w:tcPr>
          <w:p w:rsidR="006B40A6" w:rsidRPr="004D61BF" w:rsidRDefault="006B40A6" w:rsidP="001B50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 xml:space="preserve">Saldo tekućeg računa (%BDP) 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- 4,7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- 4,3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- 4,1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- 4,1</w:t>
            </w:r>
          </w:p>
        </w:tc>
      </w:tr>
      <w:tr w:rsidR="006B40A6" w:rsidRPr="004D61BF" w:rsidTr="007C2656">
        <w:trPr>
          <w:trHeight w:val="294"/>
        </w:trPr>
        <w:tc>
          <w:tcPr>
            <w:tcW w:w="4126" w:type="dxa"/>
            <w:shd w:val="clear" w:color="auto" w:fill="auto"/>
          </w:tcPr>
          <w:p w:rsidR="006B40A6" w:rsidRPr="004D61BF" w:rsidRDefault="006B40A6" w:rsidP="001B508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Potrošačke cene (godišnji prosek)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2,7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4,0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4,0</w:t>
            </w:r>
          </w:p>
        </w:tc>
      </w:tr>
      <w:tr w:rsidR="006B40A6" w:rsidRPr="004D61BF" w:rsidTr="007C2656">
        <w:trPr>
          <w:trHeight w:val="294"/>
        </w:trPr>
        <w:tc>
          <w:tcPr>
            <w:tcW w:w="4126" w:type="dxa"/>
            <w:shd w:val="clear" w:color="auto" w:fill="auto"/>
          </w:tcPr>
          <w:p w:rsidR="006B40A6" w:rsidRPr="004D61BF" w:rsidRDefault="006B40A6" w:rsidP="001B5088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Inflacija, kraj perioda u %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2,0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2,0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3,5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A6" w:rsidRPr="004D61BF" w:rsidRDefault="006B40A6" w:rsidP="001B5088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color w:val="000000"/>
                <w:sz w:val="20"/>
                <w:szCs w:val="20"/>
                <w:lang w:val="sr-Cyrl-CS"/>
              </w:rPr>
              <w:t>4,0</w:t>
            </w:r>
          </w:p>
        </w:tc>
      </w:tr>
    </w:tbl>
    <w:p w:rsidR="006B40A6" w:rsidRPr="004D61BF" w:rsidRDefault="006B40A6" w:rsidP="006B40A6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Cyrl-CS"/>
        </w:rPr>
      </w:pPr>
      <w:r w:rsidRPr="004D61BF">
        <w:rPr>
          <w:rFonts w:ascii="Times New Roman" w:hAnsi="Times New Roman"/>
          <w:color w:val="000000"/>
          <w:sz w:val="20"/>
          <w:szCs w:val="20"/>
        </w:rPr>
        <w:t>Izvor: Fiskalna strategija za 2014. sa projekcijama za 2015. i 2016. godinu – MFIN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>, izveštaj NBS i RZS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4D61BF" w:rsidRPr="002B3DE9" w:rsidRDefault="006B40A6" w:rsidP="002B3DE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b/>
          <w:bCs/>
          <w:sz w:val="20"/>
          <w:szCs w:val="20"/>
        </w:rPr>
        <w:t xml:space="preserve">NAPOMENA: </w:t>
      </w:r>
      <w:r w:rsidRPr="004D61BF">
        <w:rPr>
          <w:rFonts w:ascii="Times New Roman" w:hAnsi="Times New Roman"/>
          <w:sz w:val="20"/>
          <w:szCs w:val="20"/>
        </w:rPr>
        <w:t>Obzirom da se donošenje Fiskalne strategije i Uputstva za pripremu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budžeta lokalne vlasti za 201</w:t>
      </w:r>
      <w:r w:rsidRPr="004D61BF">
        <w:rPr>
          <w:rFonts w:ascii="Times New Roman" w:hAnsi="Times New Roman"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sz w:val="20"/>
          <w:szCs w:val="20"/>
        </w:rPr>
        <w:t>. i naredne dve godine očekuje u narednom periodu, ukoliko se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dogodi da dođe do odstupanja u veličinama navedenih parametara,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a koje su od uticaja na finansijski plan i</w:t>
      </w:r>
      <w:r w:rsidRPr="004D61BF">
        <w:rPr>
          <w:rFonts w:ascii="Times New Roman" w:hAnsi="Times New Roman"/>
          <w:sz w:val="20"/>
          <w:szCs w:val="20"/>
        </w:rPr>
        <w:t xml:space="preserve"> u dalјem postupku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pripreme budžeta</w:t>
      </w:r>
      <w:r w:rsidRPr="004D61BF">
        <w:rPr>
          <w:rFonts w:ascii="Times New Roman" w:hAnsi="Times New Roman"/>
          <w:sz w:val="20"/>
          <w:szCs w:val="20"/>
          <w:lang w:val="sr-Cyrl-CS"/>
        </w:rPr>
        <w:t>,</w:t>
      </w:r>
      <w:r w:rsidRPr="004D61BF">
        <w:rPr>
          <w:rFonts w:ascii="Times New Roman" w:hAnsi="Times New Roman"/>
          <w:sz w:val="20"/>
          <w:szCs w:val="20"/>
        </w:rPr>
        <w:t xml:space="preserve"> navedene projekcije makroekonomskih pokazatelјa biće usaglašene. U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skladu sa istim, korisnici budžetskih sredstava biće blagovremeno obavešteni kako bi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izvršili neophodne korekcije u predlozima finansijskih planova za 201</w:t>
      </w:r>
      <w:r w:rsidRPr="004D61BF">
        <w:rPr>
          <w:rFonts w:ascii="Times New Roman" w:hAnsi="Times New Roman"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sz w:val="20"/>
          <w:szCs w:val="20"/>
        </w:rPr>
        <w:t>. i naredne dve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godine.</w:t>
      </w:r>
    </w:p>
    <w:p w:rsidR="00612B41" w:rsidRDefault="00612B41" w:rsidP="002B3DE9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</w:p>
    <w:p w:rsidR="006B40A6" w:rsidRDefault="00612B41" w:rsidP="006B40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2.</w:t>
      </w:r>
      <w:r w:rsidR="006B40A6" w:rsidRPr="006B40A6">
        <w:rPr>
          <w:rFonts w:ascii="Times New Roman" w:hAnsi="Times New Roman"/>
          <w:b/>
          <w:bCs/>
          <w:sz w:val="20"/>
          <w:szCs w:val="20"/>
        </w:rPr>
        <w:t xml:space="preserve">OPIS PLANIRANE POLITIKE </w:t>
      </w:r>
      <w:r w:rsidR="006B40A6" w:rsidRPr="006B40A6">
        <w:rPr>
          <w:rFonts w:ascii="Times New Roman" w:hAnsi="Times New Roman"/>
          <w:b/>
          <w:bCs/>
          <w:sz w:val="20"/>
          <w:szCs w:val="20"/>
          <w:lang w:val="sr-Cyrl-CS"/>
        </w:rPr>
        <w:t>OPŠTINE</w:t>
      </w:r>
      <w:r w:rsidR="000313C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B40A6" w:rsidRPr="006B40A6">
        <w:rPr>
          <w:rFonts w:ascii="Times New Roman" w:hAnsi="Times New Roman"/>
          <w:b/>
          <w:bCs/>
          <w:sz w:val="20"/>
          <w:szCs w:val="20"/>
        </w:rPr>
        <w:t xml:space="preserve"> ZA PERIOD 201</w:t>
      </w:r>
      <w:r w:rsidR="006B40A6" w:rsidRPr="006B40A6">
        <w:rPr>
          <w:rFonts w:ascii="Times New Roman" w:hAnsi="Times New Roman"/>
          <w:b/>
          <w:bCs/>
          <w:sz w:val="20"/>
          <w:szCs w:val="20"/>
          <w:lang w:val="sr-Cyrl-CS"/>
        </w:rPr>
        <w:t>6</w:t>
      </w:r>
      <w:r w:rsidR="006B40A6" w:rsidRPr="006B40A6">
        <w:rPr>
          <w:rFonts w:ascii="Times New Roman" w:hAnsi="Times New Roman"/>
          <w:b/>
          <w:bCs/>
          <w:sz w:val="20"/>
          <w:szCs w:val="20"/>
        </w:rPr>
        <w:t>-201</w:t>
      </w:r>
      <w:r w:rsidR="006B40A6" w:rsidRPr="006B40A6">
        <w:rPr>
          <w:rFonts w:ascii="Times New Roman" w:hAnsi="Times New Roman"/>
          <w:b/>
          <w:bCs/>
          <w:sz w:val="20"/>
          <w:szCs w:val="20"/>
          <w:lang w:val="sr-Cyrl-CS"/>
        </w:rPr>
        <w:t>8</w:t>
      </w:r>
      <w:r w:rsidR="006B40A6" w:rsidRPr="006B40A6">
        <w:rPr>
          <w:rFonts w:ascii="Times New Roman" w:hAnsi="Times New Roman"/>
          <w:b/>
          <w:bCs/>
          <w:sz w:val="20"/>
          <w:szCs w:val="20"/>
        </w:rPr>
        <w:t>. GODINE</w:t>
      </w:r>
    </w:p>
    <w:p w:rsidR="002B3DE9" w:rsidRPr="002B3DE9" w:rsidRDefault="002B3DE9" w:rsidP="002B3DE9">
      <w:pPr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2B3DE9">
        <w:rPr>
          <w:rFonts w:ascii="Times New Roman" w:hAnsi="Times New Roman"/>
          <w:sz w:val="20"/>
          <w:szCs w:val="20"/>
          <w:lang w:val="sr-Latn-CS"/>
        </w:rPr>
        <w:t xml:space="preserve"> Politika opstine Tutin za 2016 godinu se ogleda u sledećem: </w:t>
      </w:r>
    </w:p>
    <w:p w:rsidR="002B3DE9" w:rsidRPr="002B3DE9" w:rsidRDefault="002B3DE9" w:rsidP="002B3DE9">
      <w:pPr>
        <w:pStyle w:val="NoSpacing"/>
        <w:ind w:firstLine="720"/>
        <w:rPr>
          <w:rFonts w:ascii="Times New Roman" w:hAnsi="Times New Roman"/>
          <w:sz w:val="20"/>
          <w:szCs w:val="20"/>
        </w:rPr>
      </w:pPr>
      <w:r w:rsidRPr="002B3DE9">
        <w:rPr>
          <w:rFonts w:ascii="Times New Roman" w:hAnsi="Times New Roman"/>
          <w:sz w:val="20"/>
          <w:szCs w:val="20"/>
        </w:rPr>
        <w:t xml:space="preserve">U </w:t>
      </w:r>
      <w:r w:rsidRPr="002B3DE9">
        <w:rPr>
          <w:rFonts w:ascii="Times New Roman" w:hAnsi="Times New Roman"/>
          <w:sz w:val="20"/>
          <w:szCs w:val="20"/>
          <w:lang w:val="sr-Latn-CS"/>
        </w:rPr>
        <w:t xml:space="preserve"> periodu od 2016. do 2018.godine , opština Tutin ce obavljati izvorne, poverene i prenesene nadležnosti u sklaldu sa Ustavom Republike Srbije i Zakonom o lokalnoj samoupravi, kao i drugim zakonskim i podzakonskim aktima kojima se reguliše ova oblast.</w:t>
      </w:r>
    </w:p>
    <w:p w:rsidR="002B3DE9" w:rsidRPr="002B3DE9" w:rsidRDefault="002B3DE9" w:rsidP="002B3DE9">
      <w:pPr>
        <w:pStyle w:val="NoSpacing"/>
        <w:ind w:firstLine="720"/>
        <w:rPr>
          <w:rFonts w:ascii="Times New Roman" w:hAnsi="Times New Roman"/>
          <w:sz w:val="20"/>
          <w:szCs w:val="20"/>
        </w:rPr>
      </w:pPr>
      <w:r w:rsidRPr="002B3DE9">
        <w:rPr>
          <w:rFonts w:ascii="Times New Roman" w:hAnsi="Times New Roman"/>
          <w:sz w:val="20"/>
          <w:szCs w:val="20"/>
          <w:lang w:val="sr-Latn-CS"/>
        </w:rPr>
        <w:t xml:space="preserve">Shodno viziji razvoja u budućnosti opština Tutin je je utvrdila sledeće prioritete, starteške ciljeve u 2016-oj godini: </w:t>
      </w:r>
    </w:p>
    <w:p w:rsidR="002B3DE9" w:rsidRPr="002B3DE9" w:rsidRDefault="002B3DE9" w:rsidP="002B3DE9">
      <w:pPr>
        <w:pStyle w:val="NoSpacing"/>
        <w:ind w:firstLine="720"/>
        <w:rPr>
          <w:rFonts w:ascii="Times New Roman" w:hAnsi="Times New Roman"/>
          <w:sz w:val="20"/>
          <w:szCs w:val="20"/>
        </w:rPr>
      </w:pPr>
      <w:r w:rsidRPr="002B3DE9">
        <w:rPr>
          <w:rFonts w:ascii="Times New Roman" w:hAnsi="Times New Roman"/>
          <w:sz w:val="20"/>
          <w:szCs w:val="20"/>
          <w:lang w:val="sr-Latn-CS"/>
        </w:rPr>
        <w:t xml:space="preserve">-          Razvoj privrede i sela, </w:t>
      </w:r>
    </w:p>
    <w:p w:rsidR="002B3DE9" w:rsidRPr="002B3DE9" w:rsidRDefault="002B3DE9" w:rsidP="002B3DE9">
      <w:pPr>
        <w:pStyle w:val="NoSpacing"/>
        <w:ind w:firstLine="720"/>
        <w:rPr>
          <w:rFonts w:ascii="Times New Roman" w:hAnsi="Times New Roman"/>
          <w:sz w:val="20"/>
          <w:szCs w:val="20"/>
        </w:rPr>
      </w:pPr>
      <w:r w:rsidRPr="002B3DE9">
        <w:rPr>
          <w:rFonts w:ascii="Times New Roman" w:hAnsi="Times New Roman"/>
          <w:sz w:val="20"/>
          <w:szCs w:val="20"/>
          <w:lang w:val="sr-Latn-CS"/>
        </w:rPr>
        <w:t xml:space="preserve">-          razvoj poljoprivrede i zapošljavnaja, </w:t>
      </w:r>
    </w:p>
    <w:p w:rsidR="002B3DE9" w:rsidRPr="002B3DE9" w:rsidRDefault="002B3DE9" w:rsidP="002B3DE9">
      <w:pPr>
        <w:pStyle w:val="NoSpacing"/>
        <w:ind w:firstLine="720"/>
        <w:rPr>
          <w:rFonts w:ascii="Times New Roman" w:hAnsi="Times New Roman"/>
          <w:sz w:val="20"/>
          <w:szCs w:val="20"/>
        </w:rPr>
      </w:pPr>
      <w:r w:rsidRPr="002B3DE9">
        <w:rPr>
          <w:rFonts w:ascii="Times New Roman" w:hAnsi="Times New Roman"/>
          <w:sz w:val="20"/>
          <w:szCs w:val="20"/>
          <w:lang w:val="sr-Latn-CS"/>
        </w:rPr>
        <w:t xml:space="preserve">-          Unapredjenje lokalane infrastrukture, </w:t>
      </w:r>
    </w:p>
    <w:p w:rsidR="002B3DE9" w:rsidRPr="002B3DE9" w:rsidRDefault="002B3DE9" w:rsidP="002B3DE9">
      <w:pPr>
        <w:pStyle w:val="NoSpacing"/>
        <w:ind w:firstLine="720"/>
        <w:rPr>
          <w:rFonts w:ascii="Times New Roman" w:hAnsi="Times New Roman"/>
          <w:sz w:val="20"/>
          <w:szCs w:val="20"/>
        </w:rPr>
      </w:pPr>
      <w:r w:rsidRPr="002B3DE9">
        <w:rPr>
          <w:rFonts w:ascii="Times New Roman" w:hAnsi="Times New Roman"/>
          <w:sz w:val="20"/>
          <w:szCs w:val="20"/>
          <w:lang w:val="sr-Latn-CS"/>
        </w:rPr>
        <w:t>-          sveobuhvatna socijalna zaštita,</w:t>
      </w:r>
    </w:p>
    <w:p w:rsidR="002B3DE9" w:rsidRPr="002B3DE9" w:rsidRDefault="002B3DE9" w:rsidP="002B3DE9">
      <w:pPr>
        <w:pStyle w:val="NoSpacing"/>
        <w:ind w:firstLine="720"/>
        <w:rPr>
          <w:rFonts w:ascii="Times New Roman" w:hAnsi="Times New Roman"/>
          <w:sz w:val="20"/>
          <w:szCs w:val="20"/>
        </w:rPr>
      </w:pPr>
      <w:r w:rsidRPr="002B3DE9">
        <w:rPr>
          <w:rFonts w:ascii="Times New Roman" w:hAnsi="Times New Roman"/>
          <w:sz w:val="20"/>
          <w:szCs w:val="20"/>
          <w:lang w:val="sr-Latn-CS"/>
        </w:rPr>
        <w:t>-          razvoj kulture i turizma,</w:t>
      </w:r>
    </w:p>
    <w:p w:rsidR="00CA0023" w:rsidRPr="002B3DE9" w:rsidRDefault="002B3DE9" w:rsidP="002B3DE9">
      <w:pPr>
        <w:pStyle w:val="NoSpacing"/>
        <w:ind w:firstLine="720"/>
        <w:rPr>
          <w:rFonts w:ascii="Times New Roman" w:hAnsi="Times New Roman"/>
          <w:sz w:val="20"/>
          <w:szCs w:val="20"/>
        </w:rPr>
      </w:pPr>
      <w:r w:rsidRPr="002B3DE9">
        <w:rPr>
          <w:rFonts w:ascii="Times New Roman" w:hAnsi="Times New Roman"/>
          <w:sz w:val="20"/>
          <w:szCs w:val="20"/>
          <w:lang w:val="sr-Latn-CS"/>
        </w:rPr>
        <w:t>-          unapredjenje obrazovan</w:t>
      </w:r>
    </w:p>
    <w:p w:rsidR="00612B41" w:rsidRDefault="00612B41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2B3DE9" w:rsidRPr="000313C8" w:rsidRDefault="002B3DE9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Latn-CS"/>
        </w:rPr>
      </w:pPr>
    </w:p>
    <w:p w:rsidR="006B40A6" w:rsidRPr="004D61BF" w:rsidRDefault="00612B41" w:rsidP="006B40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3.</w:t>
      </w:r>
      <w:r w:rsidR="006B40A6" w:rsidRPr="004D61BF">
        <w:rPr>
          <w:rFonts w:ascii="Times New Roman" w:hAnsi="Times New Roman"/>
          <w:b/>
          <w:bCs/>
          <w:sz w:val="20"/>
          <w:szCs w:val="20"/>
        </w:rPr>
        <w:t>PROCENA PRIHODA I PRIMANјA I RASHODA I IZDATAKA ZA 201</w:t>
      </w:r>
      <w:r w:rsidR="006B40A6" w:rsidRPr="004D61BF">
        <w:rPr>
          <w:rFonts w:ascii="Times New Roman" w:hAnsi="Times New Roman"/>
          <w:b/>
          <w:bCs/>
          <w:sz w:val="20"/>
          <w:szCs w:val="20"/>
          <w:lang w:val="sr-Cyrl-CS"/>
        </w:rPr>
        <w:t>6</w:t>
      </w:r>
      <w:r w:rsidR="006B40A6" w:rsidRPr="004D61BF">
        <w:rPr>
          <w:rFonts w:ascii="Times New Roman" w:hAnsi="Times New Roman"/>
          <w:b/>
          <w:bCs/>
          <w:sz w:val="20"/>
          <w:szCs w:val="20"/>
        </w:rPr>
        <w:t>.</w:t>
      </w:r>
    </w:p>
    <w:p w:rsidR="006B40A6" w:rsidRPr="004D61BF" w:rsidRDefault="006B40A6" w:rsidP="00CA002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lang w:val="sr-Latn-CS"/>
        </w:rPr>
      </w:pPr>
      <w:r w:rsidRPr="004D61BF">
        <w:rPr>
          <w:rFonts w:ascii="Times New Roman" w:hAnsi="Times New Roman"/>
          <w:b/>
          <w:bCs/>
          <w:sz w:val="20"/>
          <w:szCs w:val="20"/>
        </w:rPr>
        <w:t>I NAREDNE DVE</w:t>
      </w:r>
      <w:r w:rsidRPr="004D61BF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/>
          <w:bCs/>
          <w:sz w:val="20"/>
          <w:szCs w:val="20"/>
        </w:rPr>
        <w:t>GODINE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Polazna osnova za planiranje obima budžeta za 201</w:t>
      </w:r>
      <w:r w:rsidRPr="004D61BF">
        <w:rPr>
          <w:rFonts w:ascii="Times New Roman" w:hAnsi="Times New Roman"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sz w:val="20"/>
          <w:szCs w:val="20"/>
        </w:rPr>
        <w:t>. godinu su planirani prihodi i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 xml:space="preserve">primanja iz Odluke o budžetu 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opštine </w:t>
      </w:r>
      <w:r w:rsidR="000313C8" w:rsidRPr="004D61BF">
        <w:rPr>
          <w:rFonts w:ascii="Times New Roman" w:hAnsi="Times New Roman"/>
          <w:sz w:val="20"/>
          <w:szCs w:val="20"/>
          <w:lang w:val="sr-Latn-CS"/>
        </w:rPr>
        <w:t>Tutin</w:t>
      </w:r>
      <w:r w:rsidRPr="004D61BF">
        <w:rPr>
          <w:rFonts w:ascii="Times New Roman" w:hAnsi="Times New Roman"/>
          <w:sz w:val="20"/>
          <w:szCs w:val="20"/>
        </w:rPr>
        <w:t xml:space="preserve"> za 201</w:t>
      </w:r>
      <w:r w:rsidRPr="004D61BF">
        <w:rPr>
          <w:rFonts w:ascii="Times New Roman" w:hAnsi="Times New Roman"/>
          <w:sz w:val="20"/>
          <w:szCs w:val="20"/>
          <w:lang w:val="sr-Cyrl-CS"/>
        </w:rPr>
        <w:t>5</w:t>
      </w:r>
      <w:r w:rsidRPr="004D61BF">
        <w:rPr>
          <w:rFonts w:ascii="Times New Roman" w:hAnsi="Times New Roman"/>
          <w:sz w:val="20"/>
          <w:szCs w:val="20"/>
        </w:rPr>
        <w:t xml:space="preserve">. godinu-Rebalans </w:t>
      </w:r>
      <w:r w:rsidRPr="004D61BF">
        <w:rPr>
          <w:rFonts w:ascii="Times New Roman" w:hAnsi="Times New Roman"/>
          <w:sz w:val="20"/>
          <w:szCs w:val="20"/>
          <w:lang w:val="sr-Cyrl-CS"/>
        </w:rPr>
        <w:t>2</w:t>
      </w:r>
      <w:r w:rsidRPr="004D61BF">
        <w:rPr>
          <w:rFonts w:ascii="Times New Roman" w:hAnsi="Times New Roman"/>
          <w:sz w:val="20"/>
          <w:szCs w:val="20"/>
        </w:rPr>
        <w:t>, kao i planirani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 xml:space="preserve">rashodi i izdaci iz </w:t>
      </w:r>
      <w:r w:rsidRPr="004D61BF">
        <w:rPr>
          <w:rFonts w:ascii="Times New Roman" w:hAnsi="Times New Roman"/>
          <w:sz w:val="20"/>
          <w:szCs w:val="20"/>
          <w:lang w:val="sr-Cyrl-CS"/>
        </w:rPr>
        <w:t>iste</w:t>
      </w:r>
      <w:r w:rsidRPr="004D61BF">
        <w:rPr>
          <w:rFonts w:ascii="Times New Roman" w:hAnsi="Times New Roman"/>
          <w:sz w:val="20"/>
          <w:szCs w:val="20"/>
        </w:rPr>
        <w:t>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U skladu sa podacima o realizaciji prihoda u prethodnim godinama, planiranim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 xml:space="preserve">prihodima i primanjima iz Odluke o budžetu 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opštine </w:t>
      </w:r>
      <w:r w:rsidR="000313C8" w:rsidRPr="004D61BF">
        <w:rPr>
          <w:rFonts w:ascii="Times New Roman" w:hAnsi="Times New Roman"/>
          <w:sz w:val="20"/>
          <w:szCs w:val="20"/>
          <w:lang w:val="sr-Latn-CS"/>
        </w:rPr>
        <w:t>Tutin</w:t>
      </w:r>
      <w:r w:rsidRPr="004D61BF">
        <w:rPr>
          <w:rFonts w:ascii="Times New Roman" w:hAnsi="Times New Roman"/>
          <w:sz w:val="20"/>
          <w:szCs w:val="20"/>
        </w:rPr>
        <w:t xml:space="preserve"> za 201</w:t>
      </w:r>
      <w:r w:rsidRPr="004D61BF">
        <w:rPr>
          <w:rFonts w:ascii="Times New Roman" w:hAnsi="Times New Roman"/>
          <w:sz w:val="20"/>
          <w:szCs w:val="20"/>
          <w:lang w:val="sr-Cyrl-CS"/>
        </w:rPr>
        <w:t>5</w:t>
      </w:r>
      <w:r w:rsidRPr="004D61BF">
        <w:rPr>
          <w:rFonts w:ascii="Times New Roman" w:hAnsi="Times New Roman"/>
          <w:sz w:val="20"/>
          <w:szCs w:val="20"/>
        </w:rPr>
        <w:t xml:space="preserve">. godinu-Rebalans </w:t>
      </w:r>
      <w:r w:rsidRPr="004D61BF">
        <w:rPr>
          <w:rFonts w:ascii="Times New Roman" w:hAnsi="Times New Roman"/>
          <w:sz w:val="20"/>
          <w:szCs w:val="20"/>
          <w:lang w:val="sr-Cyrl-CS"/>
        </w:rPr>
        <w:t>2</w:t>
      </w:r>
      <w:r w:rsidRPr="004D61BF">
        <w:rPr>
          <w:rFonts w:ascii="Times New Roman" w:hAnsi="Times New Roman"/>
          <w:sz w:val="20"/>
          <w:szCs w:val="20"/>
        </w:rPr>
        <w:t>, kao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i parametrima datim u Fiskalnoj strategiji za 201</w:t>
      </w:r>
      <w:r w:rsidRPr="004D61BF">
        <w:rPr>
          <w:rFonts w:ascii="Times New Roman" w:hAnsi="Times New Roman"/>
          <w:sz w:val="20"/>
          <w:szCs w:val="20"/>
          <w:lang w:val="sr-Cyrl-CS"/>
        </w:rPr>
        <w:t>5</w:t>
      </w:r>
      <w:r w:rsidRPr="004D61BF">
        <w:rPr>
          <w:rFonts w:ascii="Times New Roman" w:hAnsi="Times New Roman"/>
          <w:sz w:val="20"/>
          <w:szCs w:val="20"/>
        </w:rPr>
        <w:t>. sa projekcijama za 201</w:t>
      </w:r>
      <w:r w:rsidRPr="004D61BF">
        <w:rPr>
          <w:rFonts w:ascii="Times New Roman" w:hAnsi="Times New Roman"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sz w:val="20"/>
          <w:szCs w:val="20"/>
        </w:rPr>
        <w:t>. i 201</w:t>
      </w:r>
      <w:r w:rsidRPr="004D61BF">
        <w:rPr>
          <w:rFonts w:ascii="Times New Roman" w:hAnsi="Times New Roman"/>
          <w:sz w:val="20"/>
          <w:szCs w:val="20"/>
          <w:lang w:val="sr-Cyrl-CS"/>
        </w:rPr>
        <w:t>7</w:t>
      </w:r>
      <w:r w:rsidRPr="004D61BF">
        <w:rPr>
          <w:rFonts w:ascii="Times New Roman" w:hAnsi="Times New Roman"/>
          <w:sz w:val="20"/>
          <w:szCs w:val="20"/>
        </w:rPr>
        <w:t>. godinu,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izrađena je projekcija budžetskih prihoda i primanja budžet</w:t>
      </w:r>
      <w:r w:rsidRPr="004D61BF">
        <w:rPr>
          <w:rFonts w:ascii="Times New Roman" w:hAnsi="Times New Roman"/>
          <w:sz w:val="20"/>
          <w:szCs w:val="20"/>
          <w:lang w:val="sr-Cyrl-CS"/>
        </w:rPr>
        <w:t>a</w:t>
      </w:r>
      <w:r w:rsidRPr="004D61BF">
        <w:rPr>
          <w:rFonts w:ascii="Times New Roman" w:hAnsi="Times New Roman"/>
          <w:sz w:val="20"/>
          <w:szCs w:val="20"/>
        </w:rPr>
        <w:t xml:space="preserve"> </w:t>
      </w:r>
      <w:r w:rsidRPr="004D61BF">
        <w:rPr>
          <w:rFonts w:ascii="Times New Roman" w:hAnsi="Times New Roman"/>
          <w:sz w:val="20"/>
          <w:szCs w:val="20"/>
          <w:lang w:val="sr-Cyrl-CS"/>
        </w:rPr>
        <w:t>opštine</w:t>
      </w:r>
      <w:r w:rsidRPr="004D61BF">
        <w:rPr>
          <w:rFonts w:ascii="Times New Roman" w:hAnsi="Times New Roman"/>
          <w:sz w:val="20"/>
          <w:szCs w:val="20"/>
        </w:rPr>
        <w:t xml:space="preserve"> za 201</w:t>
      </w:r>
      <w:r w:rsidRPr="004D61BF">
        <w:rPr>
          <w:rFonts w:ascii="Times New Roman" w:hAnsi="Times New Roman"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sz w:val="20"/>
          <w:szCs w:val="20"/>
        </w:rPr>
        <w:t>. godinu:</w:t>
      </w:r>
    </w:p>
    <w:tbl>
      <w:tblPr>
        <w:tblW w:w="1049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993"/>
        <w:gridCol w:w="3260"/>
        <w:gridCol w:w="1559"/>
        <w:gridCol w:w="1559"/>
        <w:gridCol w:w="1560"/>
        <w:gridCol w:w="1559"/>
      </w:tblGrid>
      <w:tr w:rsidR="007C2656" w:rsidRPr="004D61BF" w:rsidTr="007C2656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bCs/>
                <w:sz w:val="20"/>
                <w:szCs w:val="20"/>
              </w:rPr>
              <w:t>EKON.   KLAS.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bCs/>
                <w:sz w:val="20"/>
                <w:szCs w:val="20"/>
              </w:rPr>
              <w:t>VRSTA PRIHODA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 xml:space="preserve">Procena </w:t>
            </w:r>
          </w:p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7C2656" w:rsidRPr="004D61BF" w:rsidRDefault="007C2656" w:rsidP="007C26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2015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 xml:space="preserve">Plan </w:t>
            </w:r>
          </w:p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 xml:space="preserve"> </w:t>
            </w:r>
          </w:p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201</w:t>
            </w: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Projekcija</w:t>
            </w:r>
          </w:p>
        </w:tc>
      </w:tr>
      <w:tr w:rsidR="007C2656" w:rsidRPr="004D61BF" w:rsidTr="007C2656">
        <w:trPr>
          <w:trHeight w:val="107"/>
        </w:trPr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201</w:t>
            </w: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7C2656" w:rsidRPr="004D61BF" w:rsidTr="004D61BF">
        <w:trPr>
          <w:trHeight w:val="22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1B508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56" w:rsidRPr="004D61BF" w:rsidRDefault="007C2656" w:rsidP="000313C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201</w:t>
            </w: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8</w:t>
            </w:r>
          </w:p>
        </w:tc>
      </w:tr>
      <w:tr w:rsidR="006B2FA0" w:rsidRPr="004D61BF" w:rsidTr="00DA0FBE">
        <w:trPr>
          <w:trHeight w:val="2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FA0" w:rsidRPr="004D61BF" w:rsidRDefault="006B2FA0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321000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FA0" w:rsidRPr="004D61BF" w:rsidRDefault="006B2FA0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sz w:val="20"/>
                <w:szCs w:val="20"/>
              </w:rPr>
              <w:t xml:space="preserve">Neraspoređeni višak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B2FA0" w:rsidRPr="00ED120D" w:rsidRDefault="006B2FA0" w:rsidP="007C2656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8.323.651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B2FA0" w:rsidRPr="00DB7B73" w:rsidRDefault="00725580" w:rsidP="006B2FA0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DB7B73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40.000.000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B2FA0" w:rsidRPr="00ED120D" w:rsidRDefault="00DB7B73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20.000.000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B2FA0" w:rsidRPr="00ED120D" w:rsidRDefault="00DB7B73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20.000.00</w:t>
            </w:r>
            <w:r w:rsidR="00DA0FBE" w:rsidRPr="00ED120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0</w:t>
            </w:r>
          </w:p>
        </w:tc>
      </w:tr>
      <w:tr w:rsidR="00DA0FBE" w:rsidRPr="004D61BF" w:rsidTr="00DA0FBE">
        <w:trPr>
          <w:trHeight w:val="50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711000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Porezi na doh</w:t>
            </w:r>
            <w:r w:rsidRPr="004D61B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odak, </w:t>
            </w: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.dobit i kap.</w:t>
            </w:r>
            <w:r w:rsidRPr="004D61B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dobitke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7C2656">
            <w:pPr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103.407.898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FBE" w:rsidRPr="00DB7B73" w:rsidRDefault="0072558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B73">
              <w:rPr>
                <w:rFonts w:ascii="Times New Roman" w:hAnsi="Times New Roman"/>
                <w:color w:val="000000"/>
                <w:sz w:val="20"/>
                <w:szCs w:val="20"/>
              </w:rPr>
              <w:t>124.438.770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B7B73" w:rsidP="00DA0FBE">
            <w:pPr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2</w:t>
            </w:r>
            <w:r w:rsidR="00DA0FBE" w:rsidRPr="00ED120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1.070.000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B7B73" w:rsidP="00DA0FBE">
            <w:pPr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  <w:r w:rsidR="00DA0FBE"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DA0FBE" w:rsidRPr="004D61BF" w:rsidTr="007C2656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713000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Porez na imovinu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7C2656">
            <w:pPr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37.703.719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FBE" w:rsidRPr="00DB7B73" w:rsidRDefault="0072558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B73">
              <w:rPr>
                <w:rFonts w:ascii="Times New Roman" w:hAnsi="Times New Roman"/>
                <w:color w:val="000000"/>
                <w:sz w:val="20"/>
                <w:szCs w:val="20"/>
              </w:rPr>
              <w:t>42.099.726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4</w:t>
            </w:r>
            <w:r w:rsidRPr="00ED120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3.300.000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4</w:t>
            </w: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DA0FBE" w:rsidRPr="004D61BF" w:rsidTr="007C2656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714000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Porezi na dobra i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7C2656">
            <w:pPr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14.718.062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FBE" w:rsidRPr="00DB7B73" w:rsidRDefault="00DB7B7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B73">
              <w:rPr>
                <w:rFonts w:ascii="Times New Roman" w:hAnsi="Times New Roman"/>
                <w:color w:val="000000"/>
                <w:sz w:val="20"/>
                <w:szCs w:val="20"/>
              </w:rPr>
              <w:t>15.917.139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17.500.000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17.500,000</w:t>
            </w:r>
          </w:p>
        </w:tc>
      </w:tr>
      <w:tr w:rsidR="00DA0FBE" w:rsidRPr="004D61BF" w:rsidTr="007C2656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716000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Drugi porezi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7C2656">
            <w:pPr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8.593.126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FBE" w:rsidRPr="00DB7B73" w:rsidRDefault="00DB7B7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B73">
              <w:rPr>
                <w:rFonts w:ascii="Times New Roman" w:hAnsi="Times New Roman"/>
                <w:color w:val="000000"/>
                <w:sz w:val="20"/>
                <w:szCs w:val="20"/>
              </w:rPr>
              <w:t>7.993.126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10.000.000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10.500.000</w:t>
            </w:r>
          </w:p>
        </w:tc>
      </w:tr>
      <w:tr w:rsidR="00DA0FBE" w:rsidRPr="004D61BF" w:rsidTr="007C2656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731000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7C2656">
            <w:pPr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7.740.300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FBE" w:rsidRPr="00DB7B73" w:rsidRDefault="00DB7B7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B73">
              <w:rPr>
                <w:rFonts w:ascii="Times New Roman" w:hAnsi="Times New Roman"/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0,00</w:t>
            </w:r>
          </w:p>
        </w:tc>
      </w:tr>
      <w:tr w:rsidR="00DA0FBE" w:rsidRPr="004D61BF" w:rsidTr="007C2656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733000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Transferi od drugih nivoa vlasti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7C2656">
            <w:pPr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484.408.780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FBE" w:rsidRPr="00DB7B73" w:rsidRDefault="00DB7B7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B73">
              <w:rPr>
                <w:rFonts w:ascii="Times New Roman" w:hAnsi="Times New Roman"/>
                <w:color w:val="000000"/>
                <w:sz w:val="20"/>
                <w:szCs w:val="20"/>
              </w:rPr>
              <w:t>466.950.837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5</w:t>
            </w:r>
            <w:r w:rsidRPr="00ED120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46.168.000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5</w:t>
            </w: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40.000.000</w:t>
            </w:r>
          </w:p>
        </w:tc>
      </w:tr>
      <w:tr w:rsidR="00DA0FBE" w:rsidRPr="004D61BF" w:rsidTr="00DA0FBE">
        <w:trPr>
          <w:trHeight w:val="2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741000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Prihodi od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A0FBE" w:rsidRPr="00ED120D" w:rsidRDefault="00DA0FBE" w:rsidP="007C2656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4.525.028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A0FBE" w:rsidRPr="00DB7B73" w:rsidRDefault="00DB7B7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B73">
              <w:rPr>
                <w:rFonts w:ascii="Times New Roman" w:hAnsi="Times New Roman"/>
                <w:color w:val="000000"/>
                <w:sz w:val="20"/>
                <w:szCs w:val="20"/>
              </w:rPr>
              <w:t>7.176.024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A0FBE" w:rsidRPr="00ED120D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4.500.000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A0FBE" w:rsidRPr="00ED120D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4</w:t>
            </w:r>
            <w:r w:rsidRPr="00ED120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.000.000</w:t>
            </w:r>
          </w:p>
        </w:tc>
      </w:tr>
      <w:tr w:rsidR="00DA0FBE" w:rsidRPr="004D61BF" w:rsidTr="007C2656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742000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Prihodi od prodaje dobara i usluga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0FBE" w:rsidRPr="00ED120D" w:rsidRDefault="00DA0FBE" w:rsidP="007C2656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</w:rPr>
              <w:t>109.638.187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FBE" w:rsidRPr="00DB7B73" w:rsidRDefault="00DB7B7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B73">
              <w:rPr>
                <w:rFonts w:ascii="Times New Roman" w:hAnsi="Times New Roman"/>
                <w:color w:val="000000"/>
                <w:sz w:val="20"/>
                <w:szCs w:val="20"/>
              </w:rPr>
              <w:t>80.775.763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110</w:t>
            </w:r>
            <w:r w:rsidRPr="00ED120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.300.000</w:t>
            </w:r>
            <w:r w:rsidRPr="00ED120D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100</w:t>
            </w:r>
            <w:r w:rsidRPr="00ED120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.500.000</w:t>
            </w:r>
            <w:r w:rsidRPr="00ED120D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DA0FBE" w:rsidRPr="004D61BF" w:rsidTr="007C2656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743000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Novčane kazne i oduzeta imov.korist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7C265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20D">
              <w:rPr>
                <w:rFonts w:ascii="Times New Roman" w:hAnsi="Times New Roman"/>
                <w:sz w:val="20"/>
                <w:szCs w:val="20"/>
              </w:rPr>
              <w:t>4.318.334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FBE" w:rsidRPr="00DB7B73" w:rsidRDefault="00DB7B7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B73">
              <w:rPr>
                <w:rFonts w:ascii="Times New Roman" w:hAnsi="Times New Roman"/>
                <w:color w:val="000000"/>
                <w:sz w:val="20"/>
                <w:szCs w:val="20"/>
              </w:rPr>
              <w:t>4.653.334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4</w:t>
            </w: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5</w:t>
            </w: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00.000</w:t>
            </w:r>
            <w:r w:rsidRPr="00ED12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5</w:t>
            </w: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00.000</w:t>
            </w:r>
            <w:r w:rsidRPr="00ED120D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A0FBE" w:rsidRPr="004D61BF" w:rsidTr="00DA0FB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744000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 xml:space="preserve">Dobrovolјni transf. </w:t>
            </w:r>
            <w:r w:rsidRPr="004D61B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o</w:t>
            </w: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 xml:space="preserve">d fiz. </w:t>
            </w:r>
            <w:r w:rsidRPr="004D61B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i</w:t>
            </w: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 xml:space="preserve"> prav. </w:t>
            </w:r>
            <w:r w:rsidRPr="004D61B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l</w:t>
            </w: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7C2656">
            <w:pPr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FBE" w:rsidRPr="00DB7B73" w:rsidRDefault="00DA0FB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B7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</w:p>
        </w:tc>
      </w:tr>
      <w:tr w:rsidR="00DA0FBE" w:rsidRPr="004D61BF" w:rsidTr="007C2656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745000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4D61BF" w:rsidRDefault="00DA0FBE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Mešoviti i neodređeni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7C2656">
            <w:pPr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4.948.666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FBE" w:rsidRPr="00DB7B73" w:rsidRDefault="00DB7B7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B73">
              <w:rPr>
                <w:rFonts w:ascii="Times New Roman" w:hAnsi="Times New Roman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3</w:t>
            </w: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7</w:t>
            </w:r>
            <w:r w:rsidRPr="00ED120D">
              <w:rPr>
                <w:rFonts w:ascii="Times New Roman" w:hAnsi="Times New Roman"/>
                <w:sz w:val="20"/>
                <w:szCs w:val="20"/>
                <w:lang w:val="sr-Cyrl-CS"/>
              </w:rPr>
              <w:t>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FBE" w:rsidRPr="00ED120D" w:rsidRDefault="00DA0FBE" w:rsidP="00DA0FB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ED120D"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  <w:t>3.000.000</w:t>
            </w:r>
          </w:p>
        </w:tc>
      </w:tr>
      <w:tr w:rsidR="006B2FA0" w:rsidRPr="004D61BF" w:rsidTr="00CA0023">
        <w:trPr>
          <w:trHeight w:val="3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FA0" w:rsidRPr="004D61BF" w:rsidRDefault="006B2FA0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811000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FA0" w:rsidRPr="004D61BF" w:rsidRDefault="006B2FA0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Primanja od prodaje nepokretnosti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FA0" w:rsidRPr="00ED120D" w:rsidRDefault="006B2FA0" w:rsidP="007C2656">
            <w:pPr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FA0" w:rsidRPr="00DB7B73" w:rsidRDefault="006B2FA0" w:rsidP="001B5088">
            <w:pPr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DB7B73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FA0" w:rsidRPr="00ED120D" w:rsidRDefault="00DA0FBE" w:rsidP="001B5088">
            <w:pPr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FA0" w:rsidRPr="00ED120D" w:rsidRDefault="00DA0FBE" w:rsidP="001B50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sr-Cyrl-CS"/>
              </w:rPr>
            </w:pPr>
            <w:r w:rsidRPr="00ED120D">
              <w:rPr>
                <w:rFonts w:ascii="Times New Roman" w:hAnsi="Times New Roman"/>
                <w:color w:val="000000"/>
                <w:sz w:val="20"/>
                <w:szCs w:val="20"/>
                <w:lang w:val="sr-Latn-CS"/>
              </w:rPr>
              <w:t>0</w:t>
            </w:r>
          </w:p>
        </w:tc>
      </w:tr>
      <w:tr w:rsidR="006B2FA0" w:rsidRPr="004D61BF" w:rsidTr="00DB7B73">
        <w:trPr>
          <w:trHeight w:val="2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FA0" w:rsidRPr="004D61BF" w:rsidRDefault="006B2FA0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921000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FA0" w:rsidRPr="004D61BF" w:rsidRDefault="006B2FA0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Prim</w:t>
            </w:r>
            <w:r w:rsidRPr="004D61B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 xml:space="preserve"> od prod. </w:t>
            </w:r>
            <w:r w:rsidRPr="004D61B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d</w:t>
            </w: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 xml:space="preserve">omać.finan. </w:t>
            </w:r>
            <w:r w:rsidRPr="004D61B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i</w:t>
            </w:r>
            <w:r w:rsidRPr="004D61BF">
              <w:rPr>
                <w:rFonts w:ascii="Times New Roman" w:hAnsi="Times New Roman"/>
                <w:bCs/>
                <w:sz w:val="20"/>
                <w:szCs w:val="20"/>
              </w:rPr>
              <w:t>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B2FA0" w:rsidRPr="00ED120D" w:rsidRDefault="006B2FA0" w:rsidP="007C2656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126.000.000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6B2FA0" w:rsidRPr="00ED120D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B2FA0" w:rsidRPr="00ED120D" w:rsidRDefault="00DA0FBE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B2FA0" w:rsidRPr="00ED120D" w:rsidRDefault="00DA0FBE" w:rsidP="001B5088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bCs/>
                <w:color w:val="000000"/>
                <w:sz w:val="20"/>
                <w:szCs w:val="20"/>
                <w:lang w:val="sr-Latn-CS"/>
              </w:rPr>
              <w:t>0</w:t>
            </w:r>
          </w:p>
        </w:tc>
      </w:tr>
      <w:tr w:rsidR="00DB7B73" w:rsidRPr="004D61BF" w:rsidTr="00DB7B73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B73" w:rsidRPr="004D61BF" w:rsidRDefault="00DB7B73" w:rsidP="001B508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7B73" w:rsidRPr="004D61BF" w:rsidRDefault="00DB7B73" w:rsidP="001B508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UKUPNO </w:t>
            </w:r>
            <w:r w:rsidRPr="004D61BF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BUDžET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B7B73" w:rsidRPr="00ED120D" w:rsidRDefault="00DB7B73" w:rsidP="007C2656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D120D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934.414.975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B7B73" w:rsidRPr="00DB7B73" w:rsidRDefault="00DB7B73" w:rsidP="00DB7B7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793.004.719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B7B73" w:rsidRPr="00ED120D" w:rsidRDefault="00DB7B73" w:rsidP="00F361F6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76</w:t>
            </w:r>
            <w:r w:rsidRPr="00ED12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6.238.000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B7B73" w:rsidRPr="00ED120D" w:rsidRDefault="00DB7B73" w:rsidP="00F361F6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74</w:t>
            </w:r>
            <w:r w:rsidRPr="00ED12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7.517.500</w:t>
            </w:r>
          </w:p>
        </w:tc>
      </w:tr>
    </w:tbl>
    <w:p w:rsidR="00CA0023" w:rsidRPr="004D61BF" w:rsidRDefault="00CA0023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  <w:lang w:val="sr-Latn-CS"/>
        </w:rPr>
      </w:pPr>
    </w:p>
    <w:p w:rsidR="00CA0023" w:rsidRPr="004D61BF" w:rsidRDefault="00CA0023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  <w:lang w:val="sr-Latn-CS"/>
        </w:rPr>
      </w:pP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4D61BF">
        <w:rPr>
          <w:rFonts w:ascii="Times New Roman" w:hAnsi="Times New Roman"/>
          <w:sz w:val="20"/>
          <w:szCs w:val="20"/>
          <w:lang w:val="sr-Cyrl-CS"/>
        </w:rPr>
        <w:lastRenderedPageBreak/>
        <w:t>Kako</w:t>
      </w:r>
      <w:r w:rsidRPr="004D61BF">
        <w:rPr>
          <w:rFonts w:ascii="Times New Roman" w:hAnsi="Times New Roman"/>
          <w:sz w:val="20"/>
          <w:szCs w:val="20"/>
        </w:rPr>
        <w:t xml:space="preserve"> za 201</w:t>
      </w:r>
      <w:r w:rsidRPr="004D61BF">
        <w:rPr>
          <w:rFonts w:ascii="Times New Roman" w:hAnsi="Times New Roman"/>
          <w:sz w:val="20"/>
          <w:szCs w:val="20"/>
          <w:lang w:val="sr-Cyrl-CS"/>
        </w:rPr>
        <w:t>8</w:t>
      </w:r>
      <w:r w:rsidRPr="004D61BF">
        <w:rPr>
          <w:rFonts w:ascii="Times New Roman" w:hAnsi="Times New Roman"/>
          <w:sz w:val="20"/>
          <w:szCs w:val="20"/>
        </w:rPr>
        <w:t>. godinu nema podataka o predviđenim makroekonomskim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 xml:space="preserve">kretanjima BDP-a, 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i drugih parametara, </w:t>
      </w:r>
      <w:r w:rsidRPr="004D61BF">
        <w:rPr>
          <w:rFonts w:ascii="Times New Roman" w:hAnsi="Times New Roman"/>
          <w:sz w:val="20"/>
          <w:szCs w:val="20"/>
        </w:rPr>
        <w:t>procena za ovu godinu je rađena na bazi kretanja indikatora za 201</w:t>
      </w:r>
      <w:r w:rsidRPr="004D61BF">
        <w:rPr>
          <w:rFonts w:ascii="Times New Roman" w:hAnsi="Times New Roman"/>
          <w:sz w:val="20"/>
          <w:szCs w:val="20"/>
          <w:lang w:val="sr-Cyrl-CS"/>
        </w:rPr>
        <w:t>7.</w:t>
      </w:r>
      <w:r w:rsidRPr="004D61BF">
        <w:rPr>
          <w:rFonts w:ascii="Times New Roman" w:hAnsi="Times New Roman"/>
          <w:sz w:val="20"/>
          <w:szCs w:val="20"/>
        </w:rPr>
        <w:t>godinu.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4D61BF">
        <w:rPr>
          <w:rFonts w:ascii="Times New Roman" w:hAnsi="Times New Roman"/>
          <w:sz w:val="20"/>
          <w:szCs w:val="20"/>
        </w:rPr>
        <w:t>Potrebno je napomenuti da u navedenu procenu sredstava za 201</w:t>
      </w:r>
      <w:r w:rsidRPr="004D61BF">
        <w:rPr>
          <w:rFonts w:ascii="Times New Roman" w:hAnsi="Times New Roman"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sz w:val="20"/>
          <w:szCs w:val="20"/>
        </w:rPr>
        <w:t>.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uklјučeno i očekivana neutrošena sredstva- suficit, a za 2017. i 2018. godinu</w:t>
      </w:r>
      <w:r w:rsidRPr="004D61BF">
        <w:rPr>
          <w:rFonts w:ascii="Times New Roman" w:hAnsi="Times New Roman"/>
          <w:sz w:val="20"/>
          <w:szCs w:val="20"/>
        </w:rPr>
        <w:t xml:space="preserve"> nisu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uklјučeni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: neutrošena sredstva iz prethodnih godina, </w:t>
      </w:r>
      <w:r w:rsidRPr="004D61BF">
        <w:rPr>
          <w:rFonts w:ascii="Times New Roman" w:hAnsi="Times New Roman"/>
          <w:sz w:val="20"/>
          <w:szCs w:val="20"/>
        </w:rPr>
        <w:t xml:space="preserve">prihodi od donacija, eventualna primanja od prodaje </w:t>
      </w:r>
      <w:r w:rsidRPr="004D61BF">
        <w:rPr>
          <w:rFonts w:ascii="Times New Roman" w:hAnsi="Times New Roman"/>
          <w:sz w:val="20"/>
          <w:szCs w:val="20"/>
          <w:lang w:val="sr-Cyrl-CS"/>
        </w:rPr>
        <w:t>nepokretnosti</w:t>
      </w:r>
      <w:r w:rsidRPr="004D61BF">
        <w:rPr>
          <w:rFonts w:ascii="Times New Roman" w:hAnsi="Times New Roman"/>
          <w:sz w:val="20"/>
          <w:szCs w:val="20"/>
        </w:rPr>
        <w:t xml:space="preserve"> kao ni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 xml:space="preserve">eventualni 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namenski </w:t>
      </w:r>
      <w:r w:rsidRPr="004D61BF">
        <w:rPr>
          <w:rFonts w:ascii="Times New Roman" w:hAnsi="Times New Roman"/>
          <w:sz w:val="20"/>
          <w:szCs w:val="20"/>
        </w:rPr>
        <w:t xml:space="preserve">transferi od nadležnih Ministarstva </w:t>
      </w:r>
      <w:r w:rsidRPr="004D61BF">
        <w:rPr>
          <w:rFonts w:ascii="Times New Roman" w:hAnsi="Times New Roman"/>
          <w:sz w:val="20"/>
          <w:szCs w:val="20"/>
          <w:lang w:val="sr-Cyrl-CS"/>
        </w:rPr>
        <w:t>a prema</w:t>
      </w:r>
      <w:r w:rsidRPr="004D61BF">
        <w:rPr>
          <w:rFonts w:ascii="Times New Roman" w:hAnsi="Times New Roman"/>
          <w:sz w:val="20"/>
          <w:szCs w:val="20"/>
        </w:rPr>
        <w:t xml:space="preserve"> 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objavlјenim konkursima. Takođe, u projekciji prihoda za 2016 i naredne dve godine nisu uklјučeni prihodi budžetskih korisnika iz drugih izvora (sopstveni prihodi), ali se obavezuju budžetski korisnici da usvajeni finansijski planovi koji se budu dostavlјali, moraju iskazati i prihodi iz drugih izvora, kao i namena njihovog korišćenja. </w:t>
      </w:r>
    </w:p>
    <w:p w:rsidR="00612B41" w:rsidRPr="004D61BF" w:rsidRDefault="006B40A6" w:rsidP="00612B4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U proteklom periodu formirala su se značajna neutrošena sredstva koja se uglavnom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prebacuju u naredni period. Ukoliko bi, došlo do pada likvidnosti i slabije naplate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tekućih prihoda, može doći do ubrzanog trošenja ovih sredstava i povećanja fiskalnog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deficita. Iako utiče na ukupan nivo deficita ovako generisan deo fiskalnog rezultata ne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 xml:space="preserve">utiče na nivo javnog duga u trenutku njegovog stvaranja, ali </w:t>
      </w:r>
      <w:r w:rsidRPr="004D61BF">
        <w:rPr>
          <w:rFonts w:ascii="Times New Roman" w:hAnsi="Times New Roman"/>
          <w:b/>
          <w:bCs/>
          <w:sz w:val="20"/>
          <w:szCs w:val="20"/>
        </w:rPr>
        <w:t>može nepovolјno da deluje na</w:t>
      </w:r>
      <w:r w:rsidRPr="004D61BF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/>
          <w:bCs/>
          <w:sz w:val="20"/>
          <w:szCs w:val="20"/>
        </w:rPr>
        <w:t>nivo likvidnosti u budućnosti i stvara u nekoj meri pogrešnu sliku o stanju javnih</w:t>
      </w:r>
      <w:r w:rsidRPr="004D61BF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/>
          <w:bCs/>
          <w:sz w:val="20"/>
          <w:szCs w:val="20"/>
        </w:rPr>
        <w:t>finansija</w:t>
      </w:r>
      <w:r w:rsidRPr="004D61BF">
        <w:rPr>
          <w:rFonts w:ascii="Times New Roman" w:hAnsi="Times New Roman"/>
          <w:sz w:val="20"/>
          <w:szCs w:val="20"/>
        </w:rPr>
        <w:t>. Iz navedenih razloga, u projekciji za 201</w:t>
      </w:r>
      <w:r w:rsidRPr="004D61BF">
        <w:rPr>
          <w:rFonts w:ascii="Times New Roman" w:hAnsi="Times New Roman"/>
          <w:sz w:val="20"/>
          <w:szCs w:val="20"/>
          <w:lang w:val="sr-Cyrl-CS"/>
        </w:rPr>
        <w:t>7</w:t>
      </w:r>
      <w:r w:rsidRPr="004D61BF">
        <w:rPr>
          <w:rFonts w:ascii="Times New Roman" w:hAnsi="Times New Roman"/>
          <w:sz w:val="20"/>
          <w:szCs w:val="20"/>
        </w:rPr>
        <w:t>-201</w:t>
      </w:r>
      <w:r w:rsidRPr="004D61BF">
        <w:rPr>
          <w:rFonts w:ascii="Times New Roman" w:hAnsi="Times New Roman"/>
          <w:sz w:val="20"/>
          <w:szCs w:val="20"/>
          <w:lang w:val="sr-Cyrl-CS"/>
        </w:rPr>
        <w:t>8</w:t>
      </w:r>
      <w:r w:rsidRPr="004D61BF">
        <w:rPr>
          <w:rFonts w:ascii="Times New Roman" w:hAnsi="Times New Roman"/>
          <w:sz w:val="20"/>
          <w:szCs w:val="20"/>
        </w:rPr>
        <w:t>. godine prikazani su samo tekući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prihodi i primanja.</w:t>
      </w:r>
    </w:p>
    <w:p w:rsidR="006B40A6" w:rsidRPr="004D61BF" w:rsidRDefault="006B40A6" w:rsidP="006B40A6">
      <w:pPr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b/>
          <w:bCs/>
          <w:color w:val="000000"/>
          <w:sz w:val="20"/>
          <w:szCs w:val="20"/>
        </w:rPr>
        <w:t>Tabela-</w:t>
      </w:r>
      <w:r w:rsidRPr="004D61BF">
        <w:rPr>
          <w:rFonts w:ascii="Times New Roman" w:hAnsi="Times New Roman"/>
          <w:b/>
          <w:bCs/>
          <w:sz w:val="20"/>
          <w:szCs w:val="20"/>
        </w:rPr>
        <w:t xml:space="preserve">Limiti rashoda </w:t>
      </w:r>
      <w:r w:rsidRPr="004D61BF">
        <w:rPr>
          <w:rFonts w:ascii="Times New Roman" w:hAnsi="Times New Roman"/>
          <w:b/>
          <w:bCs/>
          <w:sz w:val="20"/>
          <w:szCs w:val="20"/>
          <w:lang w:val="sr-Cyrl-CS"/>
        </w:rPr>
        <w:t>i izdataka</w:t>
      </w:r>
      <w:r w:rsidRPr="004D61BF">
        <w:rPr>
          <w:rFonts w:ascii="Times New Roman" w:hAnsi="Times New Roman"/>
          <w:b/>
          <w:bCs/>
          <w:sz w:val="20"/>
          <w:szCs w:val="20"/>
        </w:rPr>
        <w:t xml:space="preserve"> po </w:t>
      </w:r>
      <w:r w:rsidR="004D61BF" w:rsidRPr="004D61BF">
        <w:rPr>
          <w:rFonts w:ascii="Times New Roman" w:hAnsi="Times New Roman"/>
          <w:b/>
          <w:bCs/>
          <w:sz w:val="20"/>
          <w:szCs w:val="20"/>
        </w:rPr>
        <w:t xml:space="preserve"> direktnim </w:t>
      </w:r>
      <w:r w:rsidRPr="004D61BF">
        <w:rPr>
          <w:rFonts w:ascii="Times New Roman" w:hAnsi="Times New Roman"/>
          <w:b/>
          <w:bCs/>
          <w:sz w:val="20"/>
          <w:szCs w:val="20"/>
        </w:rPr>
        <w:t>budžetskim korisnicima</w:t>
      </w:r>
      <w:r w:rsidRPr="004D61BF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i namenama</w:t>
      </w:r>
      <w:r w:rsidRPr="004D61BF">
        <w:rPr>
          <w:rFonts w:ascii="Times New Roman" w:hAnsi="Times New Roman"/>
          <w:b/>
          <w:bCs/>
          <w:sz w:val="20"/>
          <w:szCs w:val="20"/>
        </w:rPr>
        <w:t xml:space="preserve"> za</w:t>
      </w:r>
      <w:r w:rsidRPr="004D61BF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/>
          <w:bCs/>
          <w:sz w:val="20"/>
          <w:szCs w:val="20"/>
        </w:rPr>
        <w:t>201</w:t>
      </w:r>
      <w:r w:rsidRPr="004D61BF">
        <w:rPr>
          <w:rFonts w:ascii="Times New Roman" w:hAnsi="Times New Roman"/>
          <w:b/>
          <w:bCs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b/>
          <w:bCs/>
          <w:sz w:val="20"/>
          <w:szCs w:val="20"/>
        </w:rPr>
        <w:t>. godinu</w:t>
      </w:r>
      <w:r w:rsidRPr="004D61BF">
        <w:rPr>
          <w:rFonts w:ascii="Times New Roman" w:hAnsi="Times New Roman"/>
          <w:sz w:val="20"/>
          <w:szCs w:val="20"/>
        </w:rPr>
        <w:t>, dati su u sledećoj tabeli:</w:t>
      </w:r>
    </w:p>
    <w:p w:rsidR="004D61BF" w:rsidRPr="004D61BF" w:rsidRDefault="004D61BF" w:rsidP="006B40A6">
      <w:pPr>
        <w:jc w:val="both"/>
        <w:rPr>
          <w:rFonts w:ascii="Times New Roman" w:hAnsi="Times New Roman"/>
          <w:sz w:val="20"/>
          <w:szCs w:val="20"/>
        </w:rPr>
      </w:pPr>
    </w:p>
    <w:p w:rsidR="005A5543" w:rsidRPr="004D61BF" w:rsidRDefault="005A5543" w:rsidP="005A5543">
      <w:pPr>
        <w:widowControl w:val="0"/>
        <w:autoSpaceDE w:val="0"/>
        <w:autoSpaceDN w:val="0"/>
        <w:adjustRightInd w:val="0"/>
        <w:spacing w:after="0" w:line="239" w:lineRule="auto"/>
        <w:ind w:left="2260"/>
        <w:rPr>
          <w:rFonts w:ascii="Times New Roman" w:hAnsi="Times New Roman"/>
          <w:noProof/>
          <w:sz w:val="20"/>
          <w:szCs w:val="20"/>
        </w:rPr>
      </w:pPr>
      <w:r w:rsidRPr="004D61BF">
        <w:rPr>
          <w:rFonts w:ascii="Times New Roman" w:hAnsi="Times New Roman"/>
          <w:b/>
          <w:bCs/>
          <w:noProof/>
          <w:sz w:val="20"/>
          <w:szCs w:val="20"/>
        </w:rPr>
        <w:t>Projekcija rashoda direktnih korisnika (limiti)</w:t>
      </w:r>
    </w:p>
    <w:p w:rsidR="005A5543" w:rsidRPr="004D61BF" w:rsidRDefault="00D648B9" w:rsidP="005A5543">
      <w:pPr>
        <w:widowControl w:val="0"/>
        <w:autoSpaceDE w:val="0"/>
        <w:autoSpaceDN w:val="0"/>
        <w:adjustRightInd w:val="0"/>
        <w:spacing w:after="0" w:line="239" w:lineRule="auto"/>
        <w:ind w:left="2260"/>
        <w:rPr>
          <w:rFonts w:ascii="Times New Roman" w:hAnsi="Times New Roman"/>
          <w:noProof/>
          <w:sz w:val="20"/>
          <w:szCs w:val="20"/>
        </w:rPr>
      </w:pPr>
      <w:r w:rsidRPr="00D648B9">
        <w:rPr>
          <w:rFonts w:ascii="Times New Roman" w:hAnsi="Times New Roman"/>
          <w:noProof/>
          <w:color w:val="FF0000"/>
          <w:sz w:val="20"/>
          <w:szCs w:val="20"/>
        </w:rPr>
        <w:pict>
          <v:line id="_x0000_s1026" style="position:absolute;left:0;text-align:left;z-index:-251658752" from="1pt,12.85pt" to="484pt,12.85pt" o:allowincell="f" strokeweight=".16931mm"/>
        </w:pict>
      </w:r>
      <w:r w:rsidR="005A5543" w:rsidRPr="004D61BF">
        <w:rPr>
          <w:rFonts w:ascii="Times New Roman" w:hAnsi="Times New Roman"/>
          <w:noProof/>
          <w:color w:val="FF0000"/>
          <w:sz w:val="20"/>
          <w:szCs w:val="20"/>
        </w:rPr>
        <w:tab/>
      </w: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"/>
        <w:gridCol w:w="4036"/>
        <w:gridCol w:w="1751"/>
        <w:gridCol w:w="1559"/>
        <w:gridCol w:w="1560"/>
        <w:gridCol w:w="1701"/>
      </w:tblGrid>
      <w:tr w:rsidR="005A5543" w:rsidRPr="004D61BF" w:rsidTr="004D61BF">
        <w:trPr>
          <w:trHeight w:val="207"/>
        </w:trPr>
        <w:tc>
          <w:tcPr>
            <w:tcW w:w="3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36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w w:val="98"/>
                <w:sz w:val="20"/>
                <w:szCs w:val="20"/>
              </w:rPr>
              <w:t>Procena</w:t>
            </w:r>
          </w:p>
        </w:tc>
        <w:tc>
          <w:tcPr>
            <w:tcW w:w="1559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5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w w:val="98"/>
                <w:sz w:val="20"/>
                <w:szCs w:val="20"/>
              </w:rPr>
              <w:t>Plan</w:t>
            </w:r>
          </w:p>
        </w:tc>
        <w:tc>
          <w:tcPr>
            <w:tcW w:w="3261" w:type="dxa"/>
            <w:gridSpan w:val="2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Projekcija</w:t>
            </w:r>
          </w:p>
        </w:tc>
      </w:tr>
      <w:tr w:rsidR="005A5543" w:rsidRPr="004D61BF" w:rsidTr="004D61BF">
        <w:trPr>
          <w:trHeight w:val="300"/>
        </w:trPr>
        <w:tc>
          <w:tcPr>
            <w:tcW w:w="3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36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O p i s</w:t>
            </w:r>
          </w:p>
        </w:tc>
        <w:tc>
          <w:tcPr>
            <w:tcW w:w="1751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w w:val="99"/>
                <w:sz w:val="20"/>
                <w:szCs w:val="20"/>
              </w:rPr>
              <w:t>2015</w:t>
            </w:r>
          </w:p>
        </w:tc>
        <w:tc>
          <w:tcPr>
            <w:tcW w:w="1559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w w:val="99"/>
                <w:sz w:val="20"/>
                <w:szCs w:val="20"/>
              </w:rPr>
              <w:t>2016</w:t>
            </w:r>
          </w:p>
        </w:tc>
        <w:tc>
          <w:tcPr>
            <w:tcW w:w="156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2018</w:t>
            </w:r>
          </w:p>
        </w:tc>
      </w:tr>
      <w:tr w:rsidR="005A5543" w:rsidRPr="004D61BF" w:rsidTr="004D61BF">
        <w:trPr>
          <w:trHeight w:val="291"/>
        </w:trPr>
        <w:tc>
          <w:tcPr>
            <w:tcW w:w="3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36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70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751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</w:tr>
      <w:tr w:rsidR="005A5543" w:rsidRPr="004D61BF" w:rsidTr="004D61BF">
        <w:trPr>
          <w:trHeight w:val="287"/>
        </w:trPr>
        <w:tc>
          <w:tcPr>
            <w:tcW w:w="3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36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SKUPŠTINA OPŠTINE I RADNA TELA</w:t>
            </w:r>
          </w:p>
        </w:tc>
        <w:tc>
          <w:tcPr>
            <w:tcW w:w="1751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13.274.738</w:t>
            </w:r>
          </w:p>
        </w:tc>
        <w:tc>
          <w:tcPr>
            <w:tcW w:w="1559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   13.404.585</w:t>
            </w:r>
          </w:p>
        </w:tc>
        <w:tc>
          <w:tcPr>
            <w:tcW w:w="1560" w:type="dxa"/>
            <w:vAlign w:val="bottom"/>
          </w:tcPr>
          <w:p w:rsidR="005A5543" w:rsidRPr="004D61BF" w:rsidRDefault="004D61BF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12.500.000</w:t>
            </w:r>
          </w:p>
        </w:tc>
        <w:tc>
          <w:tcPr>
            <w:tcW w:w="1701" w:type="dxa"/>
            <w:vAlign w:val="bottom"/>
          </w:tcPr>
          <w:p w:rsidR="005A5543" w:rsidRPr="004D61BF" w:rsidRDefault="004D61BF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12.000.000</w:t>
            </w:r>
          </w:p>
        </w:tc>
      </w:tr>
      <w:tr w:rsidR="005A5543" w:rsidRPr="004D61BF" w:rsidTr="004D61BF">
        <w:trPr>
          <w:trHeight w:val="506"/>
        </w:trPr>
        <w:tc>
          <w:tcPr>
            <w:tcW w:w="3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36" w:type="dxa"/>
            <w:vMerge w:val="restart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PREDSEDNIK OPŠTINE I OPŠTINSKO</w:t>
            </w:r>
          </w:p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VEĆE</w:t>
            </w:r>
          </w:p>
        </w:tc>
        <w:tc>
          <w:tcPr>
            <w:tcW w:w="1751" w:type="dxa"/>
            <w:vMerge w:val="restart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17.295.668</w:t>
            </w:r>
          </w:p>
        </w:tc>
        <w:tc>
          <w:tcPr>
            <w:tcW w:w="1559" w:type="dxa"/>
            <w:vMerge w:val="restart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19.017.668</w:t>
            </w:r>
          </w:p>
        </w:tc>
        <w:tc>
          <w:tcPr>
            <w:tcW w:w="1560" w:type="dxa"/>
            <w:vMerge w:val="restart"/>
            <w:vAlign w:val="bottom"/>
          </w:tcPr>
          <w:p w:rsidR="005A5543" w:rsidRPr="004D61BF" w:rsidRDefault="004D61BF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16.820.000</w:t>
            </w:r>
          </w:p>
        </w:tc>
        <w:tc>
          <w:tcPr>
            <w:tcW w:w="1701" w:type="dxa"/>
            <w:vMerge w:val="restart"/>
            <w:vAlign w:val="bottom"/>
          </w:tcPr>
          <w:p w:rsidR="005A5543" w:rsidRPr="004D61BF" w:rsidRDefault="004D61BF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15.100.000</w:t>
            </w:r>
          </w:p>
        </w:tc>
      </w:tr>
      <w:tr w:rsidR="005A5543" w:rsidRPr="004D61BF" w:rsidTr="004D61BF">
        <w:trPr>
          <w:trHeight w:val="206"/>
        </w:trPr>
        <w:tc>
          <w:tcPr>
            <w:tcW w:w="3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36" w:type="dxa"/>
            <w:vMerge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bottom"/>
          </w:tcPr>
          <w:p w:rsidR="005A5543" w:rsidRPr="004D61BF" w:rsidRDefault="005A5543" w:rsidP="004D61B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5A5543" w:rsidRPr="004D61BF" w:rsidRDefault="005A5543" w:rsidP="004D61B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5A5543" w:rsidRPr="004D61BF" w:rsidTr="004D61BF">
        <w:trPr>
          <w:trHeight w:val="506"/>
        </w:trPr>
        <w:tc>
          <w:tcPr>
            <w:tcW w:w="3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36" w:type="dxa"/>
            <w:vMerge w:val="restart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OPŠTINSKO JAVNO</w:t>
            </w:r>
          </w:p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PRAVOBRANILAŠTVO</w:t>
            </w:r>
          </w:p>
        </w:tc>
        <w:tc>
          <w:tcPr>
            <w:tcW w:w="1751" w:type="dxa"/>
            <w:vMerge w:val="restart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15.574.622</w:t>
            </w:r>
          </w:p>
        </w:tc>
        <w:tc>
          <w:tcPr>
            <w:tcW w:w="1559" w:type="dxa"/>
            <w:vMerge w:val="restart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14.492.901</w:t>
            </w:r>
          </w:p>
        </w:tc>
        <w:tc>
          <w:tcPr>
            <w:tcW w:w="1560" w:type="dxa"/>
            <w:vMerge w:val="restart"/>
            <w:vAlign w:val="bottom"/>
          </w:tcPr>
          <w:p w:rsidR="005A5543" w:rsidRPr="004D61BF" w:rsidRDefault="004D61BF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10.255.000</w:t>
            </w:r>
          </w:p>
        </w:tc>
        <w:tc>
          <w:tcPr>
            <w:tcW w:w="1701" w:type="dxa"/>
            <w:vMerge w:val="restart"/>
            <w:vAlign w:val="bottom"/>
          </w:tcPr>
          <w:p w:rsidR="005A5543" w:rsidRPr="004D61BF" w:rsidRDefault="004D61BF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7.800.000</w:t>
            </w:r>
          </w:p>
        </w:tc>
      </w:tr>
      <w:tr w:rsidR="005A5543" w:rsidRPr="004D61BF" w:rsidTr="004D61BF">
        <w:trPr>
          <w:trHeight w:val="209"/>
        </w:trPr>
        <w:tc>
          <w:tcPr>
            <w:tcW w:w="3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36" w:type="dxa"/>
            <w:vMerge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bottom"/>
          </w:tcPr>
          <w:p w:rsidR="005A5543" w:rsidRPr="004D61BF" w:rsidRDefault="005A5543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bottom"/>
          </w:tcPr>
          <w:p w:rsidR="005A5543" w:rsidRPr="004D61BF" w:rsidRDefault="005A5543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5A5543" w:rsidRPr="004D61BF" w:rsidTr="004D61BF">
        <w:trPr>
          <w:trHeight w:val="603"/>
        </w:trPr>
        <w:tc>
          <w:tcPr>
            <w:tcW w:w="3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36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noProof/>
                <w:sz w:val="20"/>
                <w:szCs w:val="20"/>
              </w:rPr>
              <w:t>OPŠTINSKA UPRAVA</w:t>
            </w:r>
          </w:p>
        </w:tc>
        <w:tc>
          <w:tcPr>
            <w:tcW w:w="1751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887.769.947</w:t>
            </w:r>
          </w:p>
        </w:tc>
        <w:tc>
          <w:tcPr>
            <w:tcW w:w="1559" w:type="dxa"/>
            <w:vAlign w:val="bottom"/>
          </w:tcPr>
          <w:p w:rsidR="005A5543" w:rsidRPr="004D61BF" w:rsidRDefault="00DB7B7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746.089.565</w:t>
            </w:r>
          </w:p>
        </w:tc>
        <w:tc>
          <w:tcPr>
            <w:tcW w:w="1560" w:type="dxa"/>
            <w:vAlign w:val="bottom"/>
          </w:tcPr>
          <w:p w:rsidR="005A5543" w:rsidRPr="004D61BF" w:rsidRDefault="00DB7B73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72</w:t>
            </w:r>
            <w:r w:rsidR="004D61BF"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6.663.000</w:t>
            </w:r>
          </w:p>
        </w:tc>
        <w:tc>
          <w:tcPr>
            <w:tcW w:w="1701" w:type="dxa"/>
            <w:vAlign w:val="bottom"/>
          </w:tcPr>
          <w:p w:rsidR="005A5543" w:rsidRPr="004D61BF" w:rsidRDefault="00DB7B73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71</w:t>
            </w:r>
            <w:r w:rsidR="004D61BF"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2.617.500</w:t>
            </w:r>
          </w:p>
        </w:tc>
      </w:tr>
      <w:tr w:rsidR="005A5543" w:rsidRPr="004D61BF" w:rsidTr="004D61BF">
        <w:trPr>
          <w:trHeight w:val="305"/>
        </w:trPr>
        <w:tc>
          <w:tcPr>
            <w:tcW w:w="3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036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Ukupno razdeo 1+2+3+4:</w:t>
            </w:r>
          </w:p>
        </w:tc>
        <w:tc>
          <w:tcPr>
            <w:tcW w:w="1751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4D61BF">
              <w:rPr>
                <w:rFonts w:ascii="Times New Roman" w:hAnsi="Times New Roman"/>
                <w:b/>
                <w:noProof/>
                <w:sz w:val="20"/>
                <w:szCs w:val="20"/>
              </w:rPr>
              <w:t>934.414.975</w:t>
            </w:r>
          </w:p>
        </w:tc>
        <w:tc>
          <w:tcPr>
            <w:tcW w:w="1559" w:type="dxa"/>
            <w:vAlign w:val="bottom"/>
          </w:tcPr>
          <w:p w:rsidR="005A5543" w:rsidRPr="004D61BF" w:rsidRDefault="00DB7B73" w:rsidP="005A5543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793.004.719</w:t>
            </w:r>
          </w:p>
        </w:tc>
        <w:tc>
          <w:tcPr>
            <w:tcW w:w="1560" w:type="dxa"/>
            <w:vAlign w:val="bottom"/>
          </w:tcPr>
          <w:p w:rsidR="005A5543" w:rsidRPr="004D61BF" w:rsidRDefault="00DB7B73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="004D61BF" w:rsidRPr="004D61BF">
              <w:rPr>
                <w:rFonts w:ascii="Times New Roman" w:hAnsi="Times New Roman"/>
                <w:b/>
                <w:sz w:val="20"/>
                <w:szCs w:val="20"/>
              </w:rPr>
              <w:t>6.238.000</w:t>
            </w:r>
          </w:p>
        </w:tc>
        <w:tc>
          <w:tcPr>
            <w:tcW w:w="1701" w:type="dxa"/>
            <w:vAlign w:val="bottom"/>
          </w:tcPr>
          <w:p w:rsidR="005A5543" w:rsidRPr="004D61BF" w:rsidRDefault="00DB7B73" w:rsidP="004D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  <w:r w:rsidR="004D61BF" w:rsidRPr="004D61BF">
              <w:rPr>
                <w:rFonts w:ascii="Times New Roman" w:hAnsi="Times New Roman"/>
                <w:b/>
                <w:sz w:val="20"/>
                <w:szCs w:val="20"/>
              </w:rPr>
              <w:t>7.517.500</w:t>
            </w:r>
          </w:p>
        </w:tc>
      </w:tr>
      <w:tr w:rsidR="005A5543" w:rsidRPr="004D61BF" w:rsidTr="004D61BF">
        <w:trPr>
          <w:trHeight w:val="20"/>
        </w:trPr>
        <w:tc>
          <w:tcPr>
            <w:tcW w:w="3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4036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751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5A5543" w:rsidRPr="004D61BF" w:rsidRDefault="005A5543" w:rsidP="001B508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</w:tbl>
    <w:p w:rsidR="005A5543" w:rsidRPr="004D61BF" w:rsidRDefault="005A5543" w:rsidP="005A5543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b/>
          <w:noProof/>
          <w:sz w:val="20"/>
          <w:szCs w:val="20"/>
        </w:rPr>
      </w:pPr>
    </w:p>
    <w:p w:rsidR="005A5543" w:rsidRPr="004D61BF" w:rsidRDefault="005A5543" w:rsidP="006B40A6">
      <w:pPr>
        <w:jc w:val="both"/>
        <w:rPr>
          <w:rFonts w:ascii="Times New Roman" w:hAnsi="Times New Roman"/>
          <w:color w:val="339966"/>
          <w:sz w:val="20"/>
          <w:szCs w:val="20"/>
          <w:lang w:val="sr-Cyrl-CS"/>
        </w:rPr>
      </w:pP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13C8" w:rsidRDefault="000313C8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13C8" w:rsidRDefault="000313C8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13C8" w:rsidRDefault="000313C8" w:rsidP="006B2FA0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</w:p>
    <w:p w:rsidR="006B2FA0" w:rsidRDefault="006B2FA0" w:rsidP="006B2FA0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</w:p>
    <w:p w:rsidR="002B3DE9" w:rsidRDefault="002B3DE9" w:rsidP="006B2FA0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</w:p>
    <w:p w:rsidR="002B3DE9" w:rsidRDefault="002B3DE9" w:rsidP="006B2FA0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</w:p>
    <w:p w:rsidR="006B40A6" w:rsidRPr="004D61BF" w:rsidRDefault="000B2FC9" w:rsidP="006B40A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</w:rPr>
        <w:t>4</w:t>
      </w:r>
      <w:r w:rsidR="00612B41">
        <w:rPr>
          <w:rFonts w:ascii="Times New Roman" w:hAnsi="Times New Roman"/>
          <w:b/>
          <w:bCs/>
          <w:sz w:val="20"/>
          <w:szCs w:val="20"/>
        </w:rPr>
        <w:t>.</w:t>
      </w:r>
      <w:r w:rsidR="006B40A6" w:rsidRPr="004D61BF">
        <w:rPr>
          <w:rFonts w:ascii="Times New Roman" w:hAnsi="Times New Roman"/>
          <w:b/>
          <w:bCs/>
          <w:sz w:val="20"/>
          <w:szCs w:val="20"/>
        </w:rPr>
        <w:t>SMERNICE ZA PRIPREMU PLANOVA DIREKTNIH KORISNIKA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Prilikom planiranja predloga finansijskog plana treba imati u vidu sledeće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parametre: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 xml:space="preserve">- </w:t>
      </w:r>
      <w:r w:rsidRPr="004D61BF">
        <w:rPr>
          <w:rFonts w:ascii="Times New Roman" w:hAnsi="Times New Roman"/>
          <w:b/>
          <w:bCs/>
          <w:sz w:val="20"/>
          <w:szCs w:val="20"/>
        </w:rPr>
        <w:t>Planiranje broja zaposlenih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Zakonom o određivanju maksimalnog broja zaposlenih u lokalnoj administraciji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(„Službeni glasnik RS", broj 104/09) određuje se ukupan maksimalan broj zaposlenih u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organima jedinica lokalne samouprave ustanovama koje se finansiraju iz budžeta (osim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ustanova u oblasti obrazovanja, zdravstva i predškolskih ustanova), privrednim društvima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i drugim oblicima organizovanja čiji je jedini osnivač jedinica lokalne samouprave (osim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javnih preduzeća), a koji se finansiraju iz budžeta (član 1. Zakona).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Zakonom o budžetskom sistemu u članu 27e stav 34 uređeno je, između ostalog i da,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korisnici javnih sredstava ne mogu zasnivati radni odnos sa novim licima radi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popunjavanja slobodnih, odnosno upražnjenih radnih mesta do 31. decembra 2015. godine.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Izuzetno od stava 34. ovog člana, radni odnos sa novim licima može se zasnovati uz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saglasnost tela Vlade, na predlog nadležnog ministarstva, odnosno drugog nadležnog organa,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uz prethodno pribavlјeno mišlјenje Ministarstva.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4D61BF">
        <w:rPr>
          <w:rFonts w:ascii="Times New Roman" w:hAnsi="Times New Roman"/>
          <w:sz w:val="20"/>
          <w:szCs w:val="20"/>
        </w:rPr>
        <w:t>Ukupan broj zaposlenih na određeno vreme zbog povećanog obima posla, lica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angažovanih po ugovoru o delu, ugovoru o privremenim i povremenim poslovima, preko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omladinske i studentske zadruge i lica angažovanih po drugim osnovama, kod korisnika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javnih sredstava, ne može biti veći od 10% ukupnog broja zaposlenih.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Izuzetno od stava 36. ovog člana, broj zaposlenih na određeno vreme zbog povećanog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obima posla, lica angažovanih po ugovoru o delu, ugovoru o privremenim i povremenim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poslovima, preko omladinske i studentske zadruge i lica angažovanih po drugim osnovama,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kod korisnika javnih sredstava, može biti veći od 10% ukupnog broja zaposlenih, uz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saglasnost tela Vlade, na predlog nadležnog ministarstva, odnosno drugog nadležnog organa,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uz prethodno pribavlјeno mišlјenje Ministarstva.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4D61BF">
        <w:rPr>
          <w:rFonts w:ascii="Times New Roman" w:hAnsi="Times New Roman"/>
          <w:sz w:val="20"/>
          <w:szCs w:val="20"/>
          <w:lang w:val="sr-Cyrl-CS"/>
        </w:rPr>
        <w:t>Na osnovu iznetog, broj zaposlenih planirati na nivou 2015.godine, osim ako je dobijena saglasnost od nadležnog Ministarsva.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bCs/>
          <w:sz w:val="20"/>
          <w:szCs w:val="20"/>
        </w:rPr>
        <w:t xml:space="preserve">- Planiranje sredstva za plate </w:t>
      </w:r>
      <w:r w:rsidRPr="004D61BF">
        <w:rPr>
          <w:rFonts w:ascii="Times New Roman" w:hAnsi="Times New Roman"/>
          <w:sz w:val="20"/>
          <w:szCs w:val="20"/>
        </w:rPr>
        <w:t>(ekonomska klasifikacija 411 i 412) u 201</w:t>
      </w:r>
      <w:r w:rsidRPr="004D61BF">
        <w:rPr>
          <w:rFonts w:ascii="Times New Roman" w:hAnsi="Times New Roman"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sz w:val="20"/>
          <w:szCs w:val="20"/>
        </w:rPr>
        <w:t>. godini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 xml:space="preserve">treba planirati 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na nivou 2015.godine, a po dobijanju Uputstva od strane Ministarstva finansija i Fiskalne strategije, dostavićemo vam izmene ako bude bilo.  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Korisnici u predlogu finansijskog plana u 201</w:t>
      </w:r>
      <w:r w:rsidRPr="004D61BF">
        <w:rPr>
          <w:rFonts w:ascii="Times New Roman" w:hAnsi="Times New Roman"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sz w:val="20"/>
          <w:szCs w:val="20"/>
        </w:rPr>
        <w:t>. godini mogu planirati masu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sredstava potrebnu za isplatu dvanaest mesečnih plata zaposlenih koje se finansiraju iz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budžeta lokalne vlasti</w:t>
      </w:r>
      <w:r w:rsidRPr="004D61BF">
        <w:rPr>
          <w:rFonts w:ascii="Times New Roman" w:hAnsi="Times New Roman"/>
          <w:sz w:val="20"/>
          <w:szCs w:val="20"/>
          <w:lang w:val="sr-Cyrl-CS"/>
        </w:rPr>
        <w:t>.</w:t>
      </w:r>
      <w:r w:rsidRPr="004D61BF">
        <w:rPr>
          <w:rFonts w:ascii="Times New Roman" w:hAnsi="Times New Roman"/>
          <w:sz w:val="20"/>
          <w:szCs w:val="20"/>
        </w:rPr>
        <w:t>Podrazumeva se da su isplate plata vršene u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skladu sa Zakonom o platama u državnim organima i javnim službama („Službeni glasnik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RS", br. 34/01, 62/06, ...10/13 i 55/13) i Uredbom o koeficijentima za obračun i isplatu plata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imenovanih i postavlјenih lica i zaposlenih u državnim organima („Službeni glasnik RS",br. 44/08 - prečišćen tekst i 2/12).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Napominjemo da prethodnu projekciju dajemo sa rezervom, obzirom da su od strane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nadležnih Ministarstava u najavi izmene seta zakona koja se tiču plata zaposlenih 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državnim organima odnosno u lokalnoj samoupravi. Ukoliko dođe do navedenih izmena,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  <w:r w:rsidRPr="004D61BF">
        <w:rPr>
          <w:rFonts w:ascii="Times New Roman" w:hAnsi="Times New Roman"/>
          <w:bCs/>
          <w:sz w:val="20"/>
          <w:szCs w:val="20"/>
        </w:rPr>
        <w:t>izvršiće se korekcija obračuna potrebnih sredstava za isplatu plata budžetskih korisnika.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Odlukom o budžetu se ne vrši odobravanje novog zapošlјavanja. U tom smislu,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svi zahtevi za odobrenje sredstava za plate eventualno novozaposlenih, dostavlјaju se 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formi zahteva za dodatnim sredstvima, sa detalјnim obrazloženjem i sa zahtevom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nadležnim ministarstvima za odobrenje novog zapošlјavanja, tj za odobrenje veće mase za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plate.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- U okviru ostalih rashoda sa grupe konta 41, ne mogu se planirati isplate nagrada 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bonusa predviđenih posebnim i pojedinačnim kolektivnim ugovorima, osim jubilarnih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nagrada za zaposlene koji to pravo stiču u 201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bCs/>
          <w:sz w:val="20"/>
          <w:szCs w:val="20"/>
        </w:rPr>
        <w:t>. godini, kao ni isplate nagrada i bonusa koji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prema međunarodnim standardima predstavlјaju nestandardne odnosno netransparentne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oblike nagrada i bonusa.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lastRenderedPageBreak/>
        <w:t>- Za sredstava koja su potrebna za isplatu otpremnina potrebno je navesti planirani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broj zaposlenih (sačiniti spisak) koji će u toku 201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bCs/>
          <w:sz w:val="20"/>
          <w:szCs w:val="20"/>
        </w:rPr>
        <w:t>. godine ostvariti pravo na otpremninu 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iskazati potrebu u sredstvima za isplatu otpremnine.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</w:rPr>
        <w:t>- Iznos sredstava za jubilarne nagrade mora se precizno i odgovorno planirati kod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svih budžetskih korisnika. U obrazloženju je potrebno navesti spisak zaposlenih koji će 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201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bCs/>
          <w:sz w:val="20"/>
          <w:szCs w:val="20"/>
        </w:rPr>
        <w:t>. godini ostvariti pravo na jubilarnu nagradu kao i potrebne iznose. Zaposlenima za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koje se u toku godine ispostavi da imaju pravo na isplatu jubilarne nagrade, a ne nalaze se na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spisku, jubilarna nagrada će nakon priložene odgovarajuće pravdajuće dokumentacije, biti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isplaćena, s tim što će se za taj iznos umanjiti sredstva na drugim ekonomskim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klasifikacijama u finansijskom planu korisnika.</w:t>
      </w:r>
    </w:p>
    <w:p w:rsidR="006B40A6" w:rsidRPr="004D61BF" w:rsidRDefault="006B40A6" w:rsidP="006B40A6">
      <w:pPr>
        <w:ind w:firstLine="708"/>
        <w:jc w:val="both"/>
        <w:rPr>
          <w:rFonts w:ascii="Times New Roman" w:hAnsi="Times New Roman"/>
          <w:b/>
          <w:color w:val="000000"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>Korišćenje roba i usluga – grupa konta 4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- U okviru grupe konta 42 treba sagledati mogućnost uštede, pre svega u okviru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ekonomskih klasifikacija 422-Troškovi putovanja, 423-Usluge po ugovoru i 424-Specijalizovane usluge, a nastojati da se ne ugrozi izvršavanje stalnih troškova (421-Stalni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troškovi).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- Sredstva za stalne troškove (ekonomska klasifikacija 421) planirati na osnovu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šestomesečnog izvršenja u 201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5</w:t>
      </w:r>
      <w:r w:rsidRPr="004D61BF">
        <w:rPr>
          <w:rFonts w:ascii="Times New Roman" w:hAnsi="Times New Roman"/>
          <w:bCs/>
          <w:sz w:val="20"/>
          <w:szCs w:val="20"/>
        </w:rPr>
        <w:t>. godini i očekivanog nivoa izvršenja ovih rashoda do kraja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godine, uvećano za projektovanu inflaciju za 201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bCs/>
          <w:sz w:val="20"/>
          <w:szCs w:val="20"/>
        </w:rPr>
        <w:t xml:space="preserve">. godinu. 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- Ugostitelјske usluge i troškove reprezentacije, kao čiste diskrecione rashode,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planirati uz maksimalnu štednju i odgovornost prema poreskim obveznicima koji izdvajaju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 xml:space="preserve">značajna sredstva iz svojih kućnih budžeta za funkcionisanje organa 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i ustanova opštine</w:t>
      </w:r>
      <w:r w:rsidRPr="004D61BF">
        <w:rPr>
          <w:rFonts w:ascii="Times New Roman" w:hAnsi="Times New Roman"/>
          <w:bCs/>
          <w:sz w:val="20"/>
          <w:szCs w:val="20"/>
        </w:rPr>
        <w:t>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</w:rPr>
        <w:t>- Sredstva za tekuće održavanje opreme i objekata (425-Tekuće popravke i održavanje)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planiraju se po prioritetima.</w:t>
      </w:r>
    </w:p>
    <w:p w:rsidR="006B40A6" w:rsidRPr="004D61BF" w:rsidRDefault="006B40A6" w:rsidP="006B40A6">
      <w:pPr>
        <w:ind w:firstLine="708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>Subvencije – grupa konta 45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</w:rPr>
        <w:t>- Iznos subvencija u 201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bCs/>
          <w:sz w:val="20"/>
          <w:szCs w:val="20"/>
        </w:rPr>
        <w:t>. godini treba planirati u skladu sa politikom rashoda za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201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5</w:t>
      </w:r>
      <w:r w:rsidRPr="004D61BF">
        <w:rPr>
          <w:rFonts w:ascii="Times New Roman" w:hAnsi="Times New Roman"/>
          <w:bCs/>
          <w:sz w:val="20"/>
          <w:szCs w:val="20"/>
        </w:rPr>
        <w:t>. godinu, kojom je predviđeno smanjivanje rashoda za subvencije na svim nivoima vlasti.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Potrebno je da se rashodi za subvencije u 201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bCs/>
          <w:sz w:val="20"/>
          <w:szCs w:val="20"/>
        </w:rPr>
        <w:t>. godini na nivou jedinica lokalne samouprave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planiraju u minimalnom iznosu, najviše do iznosa koji je opredelјen budžetom za tekuću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 xml:space="preserve">godinu, odnosno planirati troškove koji se odnose samo na finansiranje 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kapitalnih rashoda i izdataka</w:t>
      </w:r>
      <w:r w:rsidRPr="004D61BF">
        <w:rPr>
          <w:rFonts w:ascii="Times New Roman" w:hAnsi="Times New Roman"/>
          <w:bCs/>
          <w:sz w:val="20"/>
          <w:szCs w:val="20"/>
        </w:rPr>
        <w:t xml:space="preserve"> na osnovu obrazloženog pismenog zahteva preduzeća o finansijskoj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neophodnosti podrške za određenu investiciju.</w:t>
      </w:r>
    </w:p>
    <w:p w:rsidR="006B40A6" w:rsidRPr="004D61BF" w:rsidRDefault="006B40A6" w:rsidP="006B40A6">
      <w:pPr>
        <w:ind w:firstLine="708"/>
        <w:jc w:val="both"/>
        <w:rPr>
          <w:rFonts w:ascii="Times New Roman" w:hAnsi="Times New Roman"/>
          <w:b/>
          <w:color w:val="000000"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>Ostali rashodi- grupa konta 48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</w:rPr>
        <w:t>- Ostali rashodi (grupa konta 48) planiraju se najviše do iznosa koji je opredelјen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budžetom za 201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5</w:t>
      </w:r>
      <w:r w:rsidRPr="004D61BF">
        <w:rPr>
          <w:rFonts w:ascii="Times New Roman" w:hAnsi="Times New Roman"/>
          <w:bCs/>
          <w:sz w:val="20"/>
          <w:szCs w:val="20"/>
        </w:rPr>
        <w:t>. godinu.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Sredstva planirana na ekonomskoj klasifikaciji 481 - Dotacije nevladinim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organizacijama, potrebno je da se posebno, na analitičan i detalјan način iskažu rashodi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putem dotacija, odnosno sredstva koja se planiraju u narednoj godini moraju biti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raspoređena po oblastima usklađenim sa programskom strukturom.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</w:rPr>
        <w:t>U cilјu transparentnijeg prikazivanja sredstava namenjenih za finansiranje redovnog rada političkih subjekata, u skladu sa Zakonom o finansiranju političkih aktivnosti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(„Službeni glasnik RS", broj 43/11), potrebno je, u opisu aproprijacije ekonomske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klasifikacije 481 -Dotacije nevladinim organizacijama, posebno iskazati sredstva za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navedenu namenu.</w:t>
      </w:r>
    </w:p>
    <w:p w:rsidR="006B40A6" w:rsidRPr="004D61BF" w:rsidRDefault="006B40A6" w:rsidP="006B40A6">
      <w:pPr>
        <w:ind w:firstLine="708"/>
        <w:jc w:val="both"/>
        <w:rPr>
          <w:rFonts w:ascii="Times New Roman" w:hAnsi="Times New Roman"/>
          <w:b/>
          <w:color w:val="000000"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>Klasa 5 – Izdaci za nefinansijsku imovinu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</w:rPr>
        <w:t>- Nabavku administrativne opreme i drugih osnovnih sredstava (ekonomska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klasifikacija 512) za redovan rad koji se ne smatraju kapitalnim investicijama u smislu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višegodišnjih projekata, potrebno je planirati uz maksimalne uštede samo za nabavku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 xml:space="preserve">neophodnih sredstava za rad. Neće se izvršiti plaćanje iz budžeta 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opštine</w:t>
      </w:r>
      <w:r w:rsidRPr="004D61BF">
        <w:rPr>
          <w:rFonts w:ascii="Times New Roman" w:hAnsi="Times New Roman"/>
          <w:bCs/>
          <w:sz w:val="20"/>
          <w:szCs w:val="20"/>
        </w:rPr>
        <w:t xml:space="preserve"> za nabavku opreme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koja nije planirana finansijskim planom na početku godine i nije precizno navedena 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obrazloženju. Prilikom planiranja potrebno je informisati se o svim alternativnim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izvorima finansiranja kao što su: sopstveni prihodi, konkursi i fondovi međunarodnih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organizacija, republičkih organa i drugih donatora.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Važno je da korisnici ne iskazuju kao kapitalne izdatke tekuće popravke 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održavanje zgrada, objekata i opreme, već da rashode za te namene (za molerske, zidarske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radove, popravke elektronske i električne opreme itd.) planiraju na ekonomskoj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klasifikaciji 425 -Tekuće popravke i održavanje, a samo ako se radi o kapitalnom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investicionom održavanju, sredstva treba planirati na kontima grupe 51, 52 i 54.</w:t>
      </w:r>
    </w:p>
    <w:p w:rsidR="000313C8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0"/>
          <w:szCs w:val="20"/>
          <w:lang w:val="sr-Latn-CS"/>
        </w:rPr>
      </w:pP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           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lastRenderedPageBreak/>
        <w:t xml:space="preserve">  </w:t>
      </w:r>
      <w:r w:rsidRPr="004D61BF">
        <w:rPr>
          <w:rFonts w:ascii="Times New Roman" w:hAnsi="Times New Roman"/>
          <w:b/>
          <w:color w:val="000000"/>
          <w:sz w:val="20"/>
          <w:szCs w:val="20"/>
        </w:rPr>
        <w:t>Kapitalni projekti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- Na kontima grupe 51, 52 i 54 planiraju se sredstva za kapitalne projekte.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U skladu sa članom 54. Zakona o budžetskom sistemu, budžetski korisnici mogu preuzeti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obaveze po ugovoru koji se odnosi na kapitalne izdatke i zahteva plaćanje u više godina koji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se odnosi na kapitalne izdatke na osnovu predloga organa nadležnog za poslove finansija, uz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saglasnost nadležnog izvršnog organa lokalne vlasti. Dalјe, korisnici mogu preuzeti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obaveze po ugovoru samo za kapitalne projekte u skladu sa predviđenim sredstvima iz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pregleda planiranih kapitalnih izdataka budžetskih korisnika za tekuću i naredne dve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budžetske godine u opštem delu budžeta za tekuću godinu, uklјučujući i potrebna sredstva do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završetka kapitalnih projekata, odnosno nakon tri fiskalne godine. Korisnici su obavezni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da, pre pokretanja postupka javne nabavke za preuzimanje obaveza po ugovoru za kapitalne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projekte, pribave saglasnost nadležnog organa.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</w:rPr>
        <w:t>Shodno navedenom, budžetski korisnici koji planiraju realizaciju kapitalnih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projekata moraju dostaviti spisak kapitalnih projekata sa procenjenom vrednošću na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propisanim obrascima-Pregled kapitalnih projekata za period 2015-2017. godine, kako bi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 xml:space="preserve">nakon razmatranja, bili uvršteni u Plan kapitalnih investicija. </w:t>
      </w:r>
    </w:p>
    <w:p w:rsidR="006B40A6" w:rsidRPr="004D61BF" w:rsidRDefault="006B40A6" w:rsidP="006B40A6">
      <w:pPr>
        <w:rPr>
          <w:rFonts w:ascii="Times New Roman" w:hAnsi="Times New Roman"/>
          <w:b/>
          <w:color w:val="000000"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                 </w:t>
      </w:r>
      <w:r w:rsidRPr="004D61BF">
        <w:rPr>
          <w:rFonts w:ascii="Times New Roman" w:hAnsi="Times New Roman"/>
          <w:b/>
          <w:color w:val="000000"/>
          <w:sz w:val="20"/>
          <w:szCs w:val="20"/>
        </w:rPr>
        <w:t>Planiranje izdataka kapitalnog projekta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Kapitalni projekti su projekti čija realizacija (izvođenje) traje duže od godinu dana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i čiji je vek trajanja, odnosno korišćenja duži od pet godina. Kapitalni projekti uklјučuju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višegodišnje finansiranje i relativno velike izdatke u sadašnjosti, za koje se očekuje da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će generisati korist odnosno dobit u godinama nakon realizacije.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Na osnovu sveobuhvatne procene potreba, potrebno je rangirati kapitalne projekte po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prioritetima, u skladu sa usvojenim strateškim dokumentima, vodeći računa da prioritet 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finansiranju imaju već započeti projekti, čija je dalјa realizacija opravdana.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Kapitalni projekti se odnose na: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1. izgradnju (kupovinu) zgrada i građevinskih objekata i objekata infrastrukture od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interesa za lokalnu samoupravu;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2. unapređenje odnosno kapitalno održavanje postojećih zgrada i građevinskih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objekata i objekata infrastrukture od interesa za lokalnu samoupravu;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3. obezbeđivanje zemlјišta;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4. projektno planiranje;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5. nabavku opreme i mašina čiji je vek trajanja odnosno korišćenja duži od pet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godina.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</w:rPr>
        <w:t>Rashodi koji se finansiraju iz sopstvenih i ostalih izvora korisnika, moraju biti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u visini realno procenjenog ostvarenja ovih prihoda u 2015. i naredne dve godine, odnosno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mora postojati ravnoteža između planiranih prihoda i planiranih rashoda. Za korisnike je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iskazivanje rashoda koji se finansiraju iz drugih izvora koji nisu budžetski (sopstveni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prihodi, prihodi od donacija, sredstva od Ministarstava i dr.) posebno važno, obzirom da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su u skladu sa Zakonom o budžetskom sistemu, predviđene posebne aproprijacije u Odluci o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budžetu iz navedenih prihoda. Uslov za korišćenje ostvarenih sopstvenih prihoda za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određenu namenu je da je rashod planiran</w:t>
      </w:r>
      <w:r w:rsidR="00116585" w:rsidRPr="004D61BF">
        <w:rPr>
          <w:rFonts w:ascii="Times New Roman" w:hAnsi="Times New Roman"/>
          <w:bCs/>
          <w:sz w:val="20"/>
          <w:szCs w:val="20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u budžetu.</w:t>
      </w:r>
    </w:p>
    <w:p w:rsidR="006B40A6" w:rsidRPr="004D61BF" w:rsidRDefault="006B40A6" w:rsidP="006B40A6">
      <w:pPr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color w:val="000000"/>
          <w:sz w:val="20"/>
          <w:szCs w:val="20"/>
        </w:rPr>
        <w:t>Napomene</w:t>
      </w: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: </w:t>
      </w:r>
      <w:r w:rsidRPr="004D61BF">
        <w:rPr>
          <w:rFonts w:ascii="Times New Roman" w:hAnsi="Times New Roman"/>
          <w:color w:val="000000"/>
          <w:sz w:val="20"/>
          <w:szCs w:val="20"/>
        </w:rPr>
        <w:t>Ukoliko korisnik budžetskih sredstava prenese investitorska prava na drugi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color w:val="000000"/>
          <w:sz w:val="20"/>
          <w:szCs w:val="20"/>
        </w:rPr>
        <w:t>Subjekt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(javno preduzeće i td.)</w:t>
      </w:r>
      <w:r w:rsidRPr="004D61BF">
        <w:rPr>
          <w:rFonts w:ascii="Times New Roman" w:hAnsi="Times New Roman"/>
          <w:color w:val="000000"/>
          <w:sz w:val="20"/>
          <w:szCs w:val="20"/>
        </w:rPr>
        <w:t>, treba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color w:val="000000"/>
          <w:sz w:val="20"/>
          <w:szCs w:val="20"/>
        </w:rPr>
        <w:t>imati u vidu da u skladu sa izmenama Zakona o PDV</w:t>
      </w:r>
      <w:r w:rsidRPr="004D61BF">
        <w:rPr>
          <w:rFonts w:ascii="Cambria" w:hAnsi="Cambria"/>
          <w:color w:val="000000"/>
          <w:sz w:val="20"/>
          <w:szCs w:val="20"/>
        </w:rPr>
        <w:t>‐</w:t>
      </w:r>
      <w:r w:rsidRPr="004D61BF">
        <w:rPr>
          <w:rFonts w:ascii="Times New Roman" w:hAnsi="Times New Roman"/>
          <w:color w:val="000000"/>
          <w:sz w:val="20"/>
          <w:szCs w:val="20"/>
        </w:rPr>
        <w:t xml:space="preserve">u član 10. stav 2. tačka 3), 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>pr</w:t>
      </w:r>
      <w:r w:rsidR="00116585" w:rsidRPr="004D61BF">
        <w:rPr>
          <w:rFonts w:ascii="Times New Roman" w:hAnsi="Times New Roman"/>
          <w:color w:val="000000"/>
          <w:sz w:val="20"/>
          <w:szCs w:val="20"/>
          <w:lang w:val="sr-Latn-CS"/>
        </w:rPr>
        <w:t>o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pisano da </w:t>
      </w:r>
      <w:r w:rsidRPr="004D61BF">
        <w:rPr>
          <w:rFonts w:ascii="Times New Roman" w:hAnsi="Times New Roman"/>
          <w:color w:val="000000"/>
          <w:sz w:val="20"/>
          <w:szCs w:val="20"/>
        </w:rPr>
        <w:t>PDV plaća investitor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.U vezi sa tim, potrebno je da Investitor koji vrši </w:t>
      </w:r>
      <w:r w:rsidRPr="004D61BF">
        <w:rPr>
          <w:rFonts w:ascii="Times New Roman" w:hAnsi="Times New Roman"/>
          <w:color w:val="000000"/>
          <w:sz w:val="20"/>
          <w:szCs w:val="20"/>
        </w:rPr>
        <w:t>investitorsku funkciju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, </w:t>
      </w:r>
      <w:r w:rsidRPr="004D61BF">
        <w:rPr>
          <w:rFonts w:ascii="Times New Roman" w:hAnsi="Times New Roman"/>
          <w:color w:val="000000"/>
          <w:sz w:val="20"/>
          <w:szCs w:val="20"/>
        </w:rPr>
        <w:t xml:space="preserve"> u ime i za račun 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>jedinice lokalne samouprave</w:t>
      </w:r>
      <w:r w:rsidRPr="004D61BF">
        <w:rPr>
          <w:rFonts w:ascii="Times New Roman" w:hAnsi="Times New Roman"/>
          <w:color w:val="000000"/>
          <w:sz w:val="20"/>
          <w:szCs w:val="20"/>
        </w:rPr>
        <w:t>, planira neophodna sredstva za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color w:val="000000"/>
          <w:sz w:val="20"/>
          <w:szCs w:val="20"/>
        </w:rPr>
        <w:t>PDV.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 xml:space="preserve">Posebno naglašavamo da se može desiti da dođe do izmena određenih propisa, 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objavlјivanja i usvajanja </w:t>
      </w:r>
      <w:r w:rsidRPr="004D61BF">
        <w:rPr>
          <w:rFonts w:ascii="Times New Roman" w:hAnsi="Times New Roman"/>
          <w:bCs/>
          <w:sz w:val="20"/>
          <w:szCs w:val="20"/>
        </w:rPr>
        <w:t xml:space="preserve">nacrta 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i predloga Zakona o </w:t>
      </w:r>
      <w:r w:rsidRPr="004D61BF">
        <w:rPr>
          <w:rFonts w:ascii="Times New Roman" w:hAnsi="Times New Roman"/>
          <w:bCs/>
          <w:sz w:val="20"/>
          <w:szCs w:val="20"/>
        </w:rPr>
        <w:t>budžet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u</w:t>
      </w:r>
      <w:r w:rsidRPr="004D61BF">
        <w:rPr>
          <w:rFonts w:ascii="Times New Roman" w:hAnsi="Times New Roman"/>
          <w:bCs/>
          <w:sz w:val="20"/>
          <w:szCs w:val="20"/>
        </w:rPr>
        <w:t xml:space="preserve"> Republike, koji bi izazvali promene u projekciji budžeta za narednu godinu, što može da ima za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rezultat i izmene u predloženom obimu sredstava. O tome će budžetski korisnici biti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blagovremeno obavešteni, dok će se neophodna usklađivanja vršiti u okviru budžetske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procedure u saradnji sa korisnicima na koje će navedene izmene imati efekta.</w:t>
      </w:r>
    </w:p>
    <w:p w:rsidR="006B40A6" w:rsidRDefault="006B40A6" w:rsidP="006B40A6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  <w:lang w:val="sr-Latn-CS"/>
        </w:rPr>
      </w:pPr>
    </w:p>
    <w:p w:rsidR="002B3DE9" w:rsidRDefault="002B3DE9" w:rsidP="006B40A6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  <w:lang w:val="sr-Latn-CS"/>
        </w:rPr>
      </w:pPr>
    </w:p>
    <w:p w:rsidR="002B3DE9" w:rsidRPr="002B3DE9" w:rsidRDefault="002B3DE9" w:rsidP="006B40A6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  <w:lang w:val="sr-Latn-CS"/>
        </w:rPr>
      </w:pP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bCs/>
          <w:sz w:val="20"/>
          <w:szCs w:val="20"/>
        </w:rPr>
        <w:t>SADRŽAJ ZAHTEVA BUDžETSKOG KORISNIKA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Na osnovu Uputstva za pripremu budžeta, korisnici budžetskih sredstava izrađuju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predlog srednjoročnog i godišnjeg finansijskog plana.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Predlog finansijskog plana korisnika budžetskih sredstava za 201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bCs/>
          <w:sz w:val="20"/>
          <w:szCs w:val="20"/>
        </w:rPr>
        <w:t>. i naredne dve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godine, potrebno je izraditi prema dostavlјenom MODELU PREDLOGA FINANSIJSKOG PLANA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, </w:t>
      </w:r>
      <w:r w:rsidRPr="004D61BF">
        <w:rPr>
          <w:rFonts w:ascii="Times New Roman" w:hAnsi="Times New Roman"/>
          <w:bCs/>
          <w:sz w:val="20"/>
          <w:szCs w:val="20"/>
        </w:rPr>
        <w:t>i isti treba da se sastoji od :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– detalјno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g</w:t>
      </w:r>
      <w:r w:rsidRPr="004D61BF">
        <w:rPr>
          <w:rFonts w:ascii="Times New Roman" w:hAnsi="Times New Roman"/>
          <w:bCs/>
          <w:sz w:val="20"/>
          <w:szCs w:val="20"/>
        </w:rPr>
        <w:t xml:space="preserve"> pisanog obrazloženja rashoda i izdataka, kao i izvora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finansiranja,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– detalјno pisanih, popunjenih i obrazloženih zahteva za finansiranje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 xml:space="preserve">programa, programskih aktivnosti i projekata po programskom modelu budžeta, </w:t>
      </w:r>
      <w:r w:rsidRPr="004D61BF">
        <w:rPr>
          <w:rFonts w:ascii="Times New Roman" w:hAnsi="Times New Roman"/>
          <w:bCs/>
          <w:color w:val="000000"/>
          <w:sz w:val="20"/>
          <w:szCs w:val="20"/>
        </w:rPr>
        <w:t>(Prilog:</w:t>
      </w:r>
      <w:r w:rsidRPr="004D61BF">
        <w:rPr>
          <w:rFonts w:ascii="Times New Roman" w:hAnsi="Times New Roman"/>
          <w:bCs/>
          <w:color w:val="000000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color w:val="000000"/>
          <w:sz w:val="20"/>
          <w:szCs w:val="20"/>
        </w:rPr>
        <w:t>Tabel</w:t>
      </w:r>
      <w:r w:rsidRPr="004D61BF">
        <w:rPr>
          <w:rFonts w:ascii="Times New Roman" w:hAnsi="Times New Roman"/>
          <w:bCs/>
          <w:color w:val="000000"/>
          <w:sz w:val="20"/>
          <w:szCs w:val="20"/>
          <w:lang w:val="sr-Cyrl-CS"/>
        </w:rPr>
        <w:t>e 4-6a)</w:t>
      </w:r>
      <w:r w:rsidRPr="004D61BF">
        <w:rPr>
          <w:rFonts w:ascii="Times New Roman" w:hAnsi="Times New Roman"/>
          <w:bCs/>
          <w:color w:val="000000"/>
          <w:sz w:val="20"/>
          <w:szCs w:val="20"/>
        </w:rPr>
        <w:t>,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</w:rPr>
        <w:t>– predloga kapitalnih projekata (po obrascu koji je sastavni deo ovog Uputstva)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,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  <w:lang w:val="sr-Cyrl-CS"/>
        </w:rPr>
        <w:t>- Popunjenih priloga – tabela o broju zaposlenih, masi sredstava za isplatu plata, broju radnika za jubilarnu nagradu i otpremninu, prihoda i primanja iz drugih izvora (tabela 1,2, 3 i 7)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- zahtev za dodatnim sredstvima, posebno i detalјno obrazložen i obavezno navesti pravni osnov i druge razloge. 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Zahtevi za finansiranje popunjavaju se na osnovu predloženog obima budžetskih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sredstava i oni obuhvataju sve rashode i izdatke i zahtevaju visok stepen odgovornosti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budžetskih korisnika za pravilno i racionalno raspoređivanje sredstava po projektima,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aktivnostima i programima.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Ukupan zbir svih zahteva bilo kog budžetskog korisnika ne sme da prelazi ukupan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obim sredstava utvrđen po kriterijumima datim u ovim smernicama. U izuzetnim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slučajevima, ukoliko se usled donošenja novih propisa javlјa potreba za programskim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aktivnostima, koje nisu postojale u budžetima prethodnih godina budžetski korisnik podnosi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dodatni </w:t>
      </w:r>
      <w:r w:rsidRPr="004D61BF">
        <w:rPr>
          <w:rFonts w:ascii="Times New Roman" w:hAnsi="Times New Roman"/>
          <w:bCs/>
          <w:sz w:val="20"/>
          <w:szCs w:val="20"/>
        </w:rPr>
        <w:t>zahtev za dodatno finansiranje, kao i predlog nove programske aktivnosti i u obavezi je da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detalјno pisano obrazloži da se radi o novim aktivnostima, uslugama odnosno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programima, za koju je potrebno obezbediti dodatna sredstva.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Zahtevi za finansiranje moraju da predstavlјaju realnu procenu finansijskih potreba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korisnika budžetskih sredstava, kao i izvora sredstava iz kojih će se ove potrebe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finansirati.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Za korisnike je iskazivanje rashoda iz drugih izvora, koji nisu budžetski, posebno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važno, obzirom da u skladu sa Zakonom o budžetskom sistemu predvide posebne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aproprijacije u Odluci o budžetu za rashode, koji se finansiraju samo iz njihovih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sopstvenih prihoda. Uslov za korišćenje ostvarenih sopstvenih prihoda za određenu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 </w:t>
      </w:r>
      <w:r w:rsidRPr="004D61BF">
        <w:rPr>
          <w:rFonts w:ascii="Times New Roman" w:hAnsi="Times New Roman"/>
          <w:bCs/>
          <w:sz w:val="20"/>
          <w:szCs w:val="20"/>
        </w:rPr>
        <w:t>namenu biće da je rashod planiran u budžetu, za čije korišćenje, je budžetski korisnik dužan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da dostavi dokumentaciju koja će opravdati trošak u smislu njegove pravne opravdanosti.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U skladu sa članom 122. Zakona o budžetskom sistemu, odredbe ovog zakona, koje se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odnose na programski deo budžeta, primenj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uje </w:t>
      </w:r>
      <w:r w:rsidRPr="004D61BF">
        <w:rPr>
          <w:rFonts w:ascii="Times New Roman" w:hAnsi="Times New Roman"/>
          <w:bCs/>
          <w:sz w:val="20"/>
          <w:szCs w:val="20"/>
        </w:rPr>
        <w:t xml:space="preserve">se 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i na </w:t>
      </w:r>
      <w:r w:rsidRPr="004D61BF">
        <w:rPr>
          <w:rFonts w:ascii="Times New Roman" w:hAnsi="Times New Roman"/>
          <w:bCs/>
          <w:sz w:val="20"/>
          <w:szCs w:val="20"/>
        </w:rPr>
        <w:t>odluk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u</w:t>
      </w:r>
      <w:r w:rsidRPr="004D61BF">
        <w:rPr>
          <w:rFonts w:ascii="Times New Roman" w:hAnsi="Times New Roman"/>
          <w:bCs/>
          <w:sz w:val="20"/>
          <w:szCs w:val="20"/>
        </w:rPr>
        <w:t xml:space="preserve"> o budžetima lokalne vlasti za 201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bCs/>
          <w:sz w:val="20"/>
          <w:szCs w:val="20"/>
        </w:rPr>
        <w:t>. godinu. U tom smislu postoji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obaveza korisnika budžetskih sredstava da pripreme predloge finansijskih planova (kao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sastavnog dela programa poslovanja/rada) po programskom modelu. Uputstvo za izradu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 xml:space="preserve">programskog budžeta 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>koje je objavilo Ministarstvo finansija na svojoj internet stranici i Stalna konferencija gradova i opština, a koje koristi i naša opština daje se  uz ovo uputsvo  i biće objavlјeno na sajtu opštine.</w:t>
      </w:r>
      <w:r w:rsidRPr="004D61BF">
        <w:rPr>
          <w:rFonts w:ascii="Times New Roman" w:hAnsi="Times New Roman"/>
          <w:bCs/>
          <w:sz w:val="20"/>
          <w:szCs w:val="20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U </w:t>
      </w:r>
      <w:r w:rsidRPr="004D61BF">
        <w:rPr>
          <w:rFonts w:ascii="Times New Roman" w:hAnsi="Times New Roman"/>
          <w:bCs/>
          <w:sz w:val="20"/>
          <w:szCs w:val="20"/>
        </w:rPr>
        <w:t>njemu je dato detalјno obrazloženje metodologije pripreme projekata, programskih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aktivnosti i programa, definicije osnovnih pojmova kao i Aneks 5 - Uniformni programi 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programske aktivnosti jedinica lokalne samouprave.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</w:rPr>
        <w:t>Naročito je potrebno obratiti pažnju na šifarnik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programa, programskih aktivnosti i projekata koji su dati u prilogu ovog uputstva.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Cs/>
          <w:sz w:val="20"/>
          <w:szCs w:val="20"/>
        </w:rPr>
        <w:t>Budžetski korisnici u fazi definisanja svojih projekata kojima će se realizovati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određeni cilјevi, moraju da rangiraju projekte po njihovoj važnosti. S obzirom da oni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najčešće nisu u mogućnosti da realizuju sve planirane projekte, potrebno je odrediti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prioritete tih projekata, pa tek onda pristupiti njihovoj realizaciji.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 xml:space="preserve">Dakle, treba izvršiti prioritizaciju, a pod njom se </w:t>
      </w:r>
      <w:r w:rsidRPr="004D61BF">
        <w:rPr>
          <w:rFonts w:ascii="Times New Roman" w:hAnsi="Times New Roman"/>
          <w:bCs/>
          <w:sz w:val="20"/>
          <w:szCs w:val="20"/>
        </w:rPr>
        <w:lastRenderedPageBreak/>
        <w:t>podrazumeva odluka o izboru onih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opcija od kojih se očekuje da daju najefikasnije i najdelotvornije rezultate koji će dovesti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 xml:space="preserve">do ostvarenja konkretnog cilјa. 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Na osnovu obaveznih podataka koje treba da sadrži program, kreiran je obrazac za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 xml:space="preserve">predlog programa, koji se nalazi u prilogu ovog dokumenta. Obrazac-Predlog </w:t>
      </w:r>
      <w:r w:rsidRPr="004D61BF">
        <w:rPr>
          <w:rFonts w:ascii="Times New Roman" w:hAnsi="Times New Roman"/>
          <w:bCs/>
          <w:color w:val="000000"/>
          <w:sz w:val="20"/>
          <w:szCs w:val="20"/>
        </w:rPr>
        <w:t>programa</w:t>
      </w:r>
      <w:r w:rsidRPr="004D61BF">
        <w:rPr>
          <w:rFonts w:ascii="Times New Roman" w:hAnsi="Times New Roman"/>
          <w:bCs/>
          <w:color w:val="000000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color w:val="000000"/>
          <w:sz w:val="20"/>
          <w:szCs w:val="20"/>
        </w:rPr>
        <w:t xml:space="preserve">(Tabela </w:t>
      </w:r>
      <w:r w:rsidRPr="004D61BF">
        <w:rPr>
          <w:rFonts w:ascii="Times New Roman" w:hAnsi="Times New Roman"/>
          <w:bCs/>
          <w:color w:val="000000"/>
          <w:sz w:val="20"/>
          <w:szCs w:val="20"/>
          <w:lang w:val="sr-Cyrl-CS"/>
        </w:rPr>
        <w:t>4,5,6</w:t>
      </w:r>
      <w:r w:rsidRPr="004D61BF">
        <w:rPr>
          <w:rFonts w:ascii="Times New Roman" w:hAnsi="Times New Roman"/>
          <w:bCs/>
          <w:color w:val="000000"/>
          <w:sz w:val="20"/>
          <w:szCs w:val="20"/>
        </w:rPr>
        <w:t>)</w:t>
      </w:r>
      <w:r w:rsidRPr="004D61BF">
        <w:rPr>
          <w:rFonts w:ascii="Times New Roman" w:hAnsi="Times New Roman"/>
          <w:bCs/>
          <w:color w:val="000000"/>
          <w:sz w:val="20"/>
          <w:szCs w:val="20"/>
          <w:lang w:val="sr-Cyrl-CS"/>
        </w:rPr>
        <w:t>.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  <w:lang w:val="sr-Cyrl-CS"/>
        </w:rPr>
      </w:pPr>
    </w:p>
    <w:p w:rsidR="006B40A6" w:rsidRPr="004D61BF" w:rsidRDefault="000B2FC9" w:rsidP="006B40A6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sz w:val="20"/>
          <w:szCs w:val="20"/>
          <w:lang w:val="sr-Cyrl-CS"/>
        </w:rPr>
      </w:pPr>
      <w:r>
        <w:rPr>
          <w:rFonts w:ascii="Times New Roman" w:hAnsi="Times New Roman"/>
          <w:b/>
          <w:bCs/>
          <w:sz w:val="20"/>
          <w:szCs w:val="20"/>
        </w:rPr>
        <w:t>5.</w:t>
      </w:r>
      <w:r w:rsidR="006B40A6" w:rsidRPr="004D61BF">
        <w:rPr>
          <w:rFonts w:ascii="Times New Roman" w:hAnsi="Times New Roman"/>
          <w:b/>
          <w:bCs/>
          <w:sz w:val="20"/>
          <w:szCs w:val="20"/>
        </w:rPr>
        <w:t xml:space="preserve">POSTUPAK I DINAMIKA PRIPREME BUDžETA </w:t>
      </w:r>
      <w:r w:rsidR="006B40A6" w:rsidRPr="004D61BF">
        <w:rPr>
          <w:rFonts w:ascii="Times New Roman" w:hAnsi="Times New Roman"/>
          <w:b/>
          <w:bCs/>
          <w:sz w:val="20"/>
          <w:szCs w:val="20"/>
          <w:lang w:val="sr-Cyrl-CS"/>
        </w:rPr>
        <w:t>OPŠTINE</w:t>
      </w:r>
      <w:r w:rsidR="006B40A6" w:rsidRPr="004D61BF">
        <w:rPr>
          <w:rFonts w:ascii="Times New Roman" w:hAnsi="Times New Roman"/>
          <w:b/>
          <w:bCs/>
          <w:sz w:val="20"/>
          <w:szCs w:val="20"/>
        </w:rPr>
        <w:t xml:space="preserve"> ZA 201</w:t>
      </w:r>
      <w:r w:rsidR="006B40A6" w:rsidRPr="004D61BF">
        <w:rPr>
          <w:rFonts w:ascii="Times New Roman" w:hAnsi="Times New Roman"/>
          <w:b/>
          <w:bCs/>
          <w:sz w:val="20"/>
          <w:szCs w:val="20"/>
          <w:lang w:val="sr-Cyrl-CS"/>
        </w:rPr>
        <w:t>6</w:t>
      </w:r>
      <w:r w:rsidR="006B40A6" w:rsidRPr="004D61BF">
        <w:rPr>
          <w:rFonts w:ascii="Times New Roman" w:hAnsi="Times New Roman"/>
          <w:b/>
          <w:bCs/>
          <w:sz w:val="20"/>
          <w:szCs w:val="20"/>
        </w:rPr>
        <w:t>. GODINU I PREDLOGA</w:t>
      </w:r>
      <w:r w:rsidR="006B40A6" w:rsidRPr="004D61BF">
        <w:rPr>
          <w:rFonts w:ascii="Times New Roman" w:hAnsi="Times New Roman"/>
          <w:b/>
          <w:bCs/>
          <w:sz w:val="20"/>
          <w:szCs w:val="20"/>
          <w:lang w:val="sr-Cyrl-CS"/>
        </w:rPr>
        <w:t xml:space="preserve"> </w:t>
      </w:r>
      <w:r w:rsidR="006B40A6" w:rsidRPr="004D61BF">
        <w:rPr>
          <w:rFonts w:ascii="Times New Roman" w:hAnsi="Times New Roman"/>
          <w:b/>
          <w:bCs/>
          <w:sz w:val="20"/>
          <w:szCs w:val="20"/>
        </w:rPr>
        <w:t>FINANSIJSKIH PLANOVA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sz w:val="20"/>
          <w:szCs w:val="20"/>
          <w:lang w:val="sr-Cyrl-CS"/>
        </w:rPr>
      </w:pP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Priprema i donošenje budžeta jedinica lokalne samouprave definisana je članom 31.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Zakona o budžetskom sistemu :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5. jul – ministar dostavlјa uputstvo za pripremu odluke o budžetu lokalnoj vlasti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01. avgust – lokalni organ uprave nadležan za finansije dostavlјa uputstvo za pripremu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budžeta lokalne vlasti,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01. septembar – direktni korisnici sredstava budžeta lokalne vlasti dostavlјaju predlog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finansijskog plana lokalnom organu uprave nadležnom za finansije za budžetsku i naredne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dve fiskalne godine,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15. oktobar - lokalni organ uprave nadležni za finansije dostavlјa nacrt odluke o budžetu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nadležnom izvršnom organu lokalne vlasti,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1. novembar - nadležni izvršni organ lokalne vlasti dostavlјa predlog odluke o budžetu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>skupštini lokalne vlasti,</w:t>
      </w:r>
    </w:p>
    <w:p w:rsidR="006B40A6" w:rsidRPr="004D61BF" w:rsidRDefault="006B40A6" w:rsidP="0011658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</w:rPr>
      </w:pPr>
      <w:r w:rsidRPr="004D61BF">
        <w:rPr>
          <w:rFonts w:ascii="Times New Roman" w:hAnsi="Times New Roman"/>
          <w:bCs/>
          <w:sz w:val="20"/>
          <w:szCs w:val="20"/>
        </w:rPr>
        <w:t>20. decembar - skupština lokalne vlasti donosi odluku o budžetu lokalne vlasti i</w:t>
      </w:r>
      <w:r w:rsidRPr="004D61BF">
        <w:rPr>
          <w:rFonts w:ascii="Times New Roman" w:hAnsi="Times New Roman"/>
          <w:bCs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Cs/>
          <w:sz w:val="20"/>
          <w:szCs w:val="20"/>
        </w:rPr>
        <w:t xml:space="preserve">25. decembar – lokalni organ uprave nadležan za finansije dostavlјa ministru odluku </w:t>
      </w:r>
      <w:r w:rsidR="00116585" w:rsidRPr="004D61BF">
        <w:rPr>
          <w:rFonts w:ascii="Times New Roman" w:hAnsi="Times New Roman"/>
          <w:bCs/>
          <w:sz w:val="20"/>
          <w:szCs w:val="20"/>
        </w:rPr>
        <w:t xml:space="preserve"> o </w:t>
      </w:r>
      <w:r w:rsidRPr="004D61BF">
        <w:rPr>
          <w:rFonts w:ascii="Times New Roman" w:hAnsi="Times New Roman"/>
          <w:bCs/>
          <w:sz w:val="20"/>
          <w:szCs w:val="20"/>
        </w:rPr>
        <w:t>budžetu lokalne vlasti.</w:t>
      </w:r>
    </w:p>
    <w:p w:rsidR="006B40A6" w:rsidRPr="004D61BF" w:rsidRDefault="006B40A6" w:rsidP="006B40A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sr-Cyrl-CS"/>
        </w:rPr>
      </w:pPr>
    </w:p>
    <w:p w:rsidR="006B40A6" w:rsidRPr="004D61BF" w:rsidRDefault="006B40A6" w:rsidP="006B40A6">
      <w:pPr>
        <w:autoSpaceDE w:val="0"/>
        <w:autoSpaceDN w:val="0"/>
        <w:adjustRightInd w:val="0"/>
        <w:ind w:left="-142" w:firstLine="862"/>
        <w:jc w:val="center"/>
        <w:rPr>
          <w:rFonts w:ascii="Times New Roman" w:hAnsi="Times New Roman"/>
          <w:b/>
          <w:bCs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bCs/>
          <w:sz w:val="20"/>
          <w:szCs w:val="20"/>
        </w:rPr>
        <w:t>ZAVRŠNE ODREDBE</w:t>
      </w: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0"/>
          <w:szCs w:val="20"/>
          <w:lang w:val="sr-Cyrl-CS"/>
        </w:rPr>
      </w:pPr>
    </w:p>
    <w:p w:rsidR="006B40A6" w:rsidRPr="004D61BF" w:rsidRDefault="006B40A6" w:rsidP="006B40A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</w:rPr>
        <w:t>Svi budžetski korisnici, dužni su da dostave zahteve za budžetskim sredstvima za 201</w:t>
      </w:r>
      <w:r w:rsidRPr="004D61BF">
        <w:rPr>
          <w:rFonts w:ascii="Times New Roman" w:hAnsi="Times New Roman"/>
          <w:sz w:val="20"/>
          <w:szCs w:val="20"/>
          <w:lang w:val="sr-Cyrl-CS"/>
        </w:rPr>
        <w:t>6</w:t>
      </w:r>
      <w:r w:rsidRPr="004D61BF">
        <w:rPr>
          <w:rFonts w:ascii="Times New Roman" w:hAnsi="Times New Roman"/>
          <w:sz w:val="20"/>
          <w:szCs w:val="20"/>
        </w:rPr>
        <w:t>.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i naredne dve godine godinu na način predviđen ovim Uputstvom. Za nepoštovanje budžetskih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ograničenja i sadržaja budžetskog zahteva, kao i rokova za izradu i dostavlјanje zahteva,</w:t>
      </w:r>
      <w:r w:rsidRPr="004D61B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sz w:val="20"/>
          <w:szCs w:val="20"/>
        </w:rPr>
        <w:t>predviđene su sankcije u skladu sa članom 103. Zakona o budžetskom sistemu.</w:t>
      </w:r>
    </w:p>
    <w:p w:rsidR="006B40A6" w:rsidRPr="004D61BF" w:rsidRDefault="006B40A6" w:rsidP="006B40A6">
      <w:pPr>
        <w:ind w:firstLine="720"/>
        <w:jc w:val="both"/>
        <w:rPr>
          <w:rFonts w:ascii="Times New Roman" w:hAnsi="Times New Roman"/>
          <w:color w:val="000000"/>
          <w:sz w:val="20"/>
          <w:szCs w:val="20"/>
          <w:lang w:val="sr-Cyrl-CS"/>
        </w:rPr>
      </w:pP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Direktni i indirektni korisnici sredstava budžeta opštine </w:t>
      </w:r>
      <w:r w:rsidR="00116585" w:rsidRPr="004D61BF">
        <w:rPr>
          <w:rFonts w:ascii="Times New Roman" w:hAnsi="Times New Roman"/>
          <w:color w:val="000000"/>
          <w:sz w:val="20"/>
          <w:szCs w:val="20"/>
          <w:lang w:val="sr-Latn-CS"/>
        </w:rPr>
        <w:t>Tutin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obavezni su da, u skladu sa smernicama, dostave predlog finansijskog plana Službi </w:t>
      </w:r>
      <w:r w:rsidRPr="004D61BF">
        <w:rPr>
          <w:rFonts w:ascii="Times New Roman" w:hAnsi="Times New Roman"/>
          <w:color w:val="000000"/>
          <w:sz w:val="20"/>
          <w:szCs w:val="20"/>
        </w:rPr>
        <w:t>budžet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a </w:t>
      </w:r>
      <w:r w:rsidRPr="004D61B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>do</w:t>
      </w:r>
      <w:r w:rsidR="00116585"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 </w:t>
      </w:r>
      <w:r w:rsidR="00ED120D">
        <w:rPr>
          <w:rFonts w:ascii="Times New Roman" w:hAnsi="Times New Roman"/>
          <w:b/>
          <w:color w:val="000000"/>
          <w:sz w:val="20"/>
          <w:szCs w:val="20"/>
          <w:lang w:val="sr-Latn-CS"/>
        </w:rPr>
        <w:t>1</w:t>
      </w:r>
      <w:r w:rsidR="00116585" w:rsidRPr="004D61BF">
        <w:rPr>
          <w:rFonts w:ascii="Times New Roman" w:hAnsi="Times New Roman"/>
          <w:b/>
          <w:color w:val="000000"/>
          <w:sz w:val="20"/>
          <w:szCs w:val="20"/>
          <w:lang w:val="sr-Latn-CS"/>
        </w:rPr>
        <w:t>5</w:t>
      </w: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. </w:t>
      </w:r>
      <w:r w:rsidR="00ED120D">
        <w:rPr>
          <w:rFonts w:ascii="Times New Roman" w:hAnsi="Times New Roman"/>
          <w:b/>
          <w:color w:val="000000"/>
          <w:sz w:val="20"/>
          <w:szCs w:val="20"/>
          <w:lang w:val="sr-Latn-CS"/>
        </w:rPr>
        <w:t>novem</w:t>
      </w: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>bra  2015.  godine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>.</w:t>
      </w:r>
    </w:p>
    <w:p w:rsidR="006B40A6" w:rsidRPr="004D61BF" w:rsidRDefault="006B40A6" w:rsidP="006B40A6">
      <w:pPr>
        <w:jc w:val="both"/>
        <w:rPr>
          <w:rFonts w:ascii="Times New Roman" w:hAnsi="Times New Roman"/>
          <w:b/>
          <w:color w:val="FF0000"/>
          <w:sz w:val="20"/>
          <w:szCs w:val="20"/>
          <w:lang w:val="sr-Latn-CS"/>
        </w:rPr>
      </w:pPr>
    </w:p>
    <w:p w:rsidR="004D61BF" w:rsidRPr="004D61BF" w:rsidRDefault="004D61BF" w:rsidP="006B40A6">
      <w:pPr>
        <w:jc w:val="both"/>
        <w:rPr>
          <w:rFonts w:ascii="Times New Roman" w:hAnsi="Times New Roman"/>
          <w:b/>
          <w:color w:val="FF0000"/>
          <w:sz w:val="20"/>
          <w:szCs w:val="20"/>
          <w:lang w:val="sr-Latn-CS"/>
        </w:rPr>
      </w:pPr>
    </w:p>
    <w:p w:rsidR="006B40A6" w:rsidRPr="004D61BF" w:rsidRDefault="006B40A6" w:rsidP="006B40A6">
      <w:pPr>
        <w:jc w:val="both"/>
        <w:rPr>
          <w:rFonts w:ascii="Times New Roman" w:hAnsi="Times New Roman"/>
          <w:b/>
          <w:color w:val="FF0000"/>
          <w:sz w:val="20"/>
          <w:szCs w:val="20"/>
          <w:lang w:val="sr-Cyrl-CS"/>
        </w:rPr>
      </w:pPr>
      <w:r w:rsidRPr="004D61BF">
        <w:rPr>
          <w:rFonts w:ascii="Times New Roman" w:hAnsi="Times New Roman"/>
          <w:b/>
          <w:color w:val="FF0000"/>
          <w:sz w:val="20"/>
          <w:szCs w:val="20"/>
          <w:lang w:val="sr-Cyrl-CS"/>
        </w:rPr>
        <w:tab/>
      </w:r>
      <w:r w:rsidRPr="004D61BF">
        <w:rPr>
          <w:rFonts w:ascii="Times New Roman" w:hAnsi="Times New Roman"/>
          <w:b/>
          <w:color w:val="FF0000"/>
          <w:sz w:val="20"/>
          <w:szCs w:val="20"/>
          <w:lang w:val="sr-Cyrl-CS"/>
        </w:rPr>
        <w:tab/>
      </w:r>
      <w:r w:rsidRPr="004D61BF">
        <w:rPr>
          <w:rFonts w:ascii="Times New Roman" w:hAnsi="Times New Roman"/>
          <w:b/>
          <w:color w:val="FF0000"/>
          <w:sz w:val="20"/>
          <w:szCs w:val="20"/>
          <w:lang w:val="sr-Cyrl-CS"/>
        </w:rPr>
        <w:tab/>
      </w:r>
      <w:r w:rsidRPr="004D61BF">
        <w:rPr>
          <w:rFonts w:ascii="Times New Roman" w:hAnsi="Times New Roman"/>
          <w:b/>
          <w:color w:val="FF0000"/>
          <w:sz w:val="20"/>
          <w:szCs w:val="20"/>
          <w:lang w:val="sr-Cyrl-CS"/>
        </w:rPr>
        <w:tab/>
      </w:r>
      <w:r w:rsidRPr="004D61BF">
        <w:rPr>
          <w:rFonts w:ascii="Times New Roman" w:hAnsi="Times New Roman"/>
          <w:b/>
          <w:color w:val="FF0000"/>
          <w:sz w:val="20"/>
          <w:szCs w:val="20"/>
          <w:lang w:val="sr-Cyrl-CS"/>
        </w:rPr>
        <w:tab/>
      </w:r>
    </w:p>
    <w:p w:rsidR="006B40A6" w:rsidRPr="004D61BF" w:rsidRDefault="006B40A6" w:rsidP="006B40A6">
      <w:pPr>
        <w:jc w:val="both"/>
        <w:rPr>
          <w:rFonts w:ascii="Times New Roman" w:hAnsi="Times New Roman"/>
          <w:b/>
          <w:color w:val="000000"/>
          <w:sz w:val="20"/>
          <w:szCs w:val="20"/>
          <w:lang w:val="sr-Latn-CS"/>
        </w:rPr>
      </w:pPr>
      <w:r w:rsidRPr="004D61BF">
        <w:rPr>
          <w:rFonts w:ascii="Times New Roman" w:hAnsi="Times New Roman"/>
          <w:b/>
          <w:color w:val="FF0000"/>
          <w:sz w:val="20"/>
          <w:szCs w:val="20"/>
          <w:lang w:val="sr-Cyrl-CS"/>
        </w:rPr>
        <w:t xml:space="preserve"> </w:t>
      </w: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Broj: </w:t>
      </w:r>
      <w:r w:rsidR="00116585" w:rsidRPr="004D61BF">
        <w:rPr>
          <w:rFonts w:ascii="Times New Roman" w:hAnsi="Times New Roman"/>
          <w:b/>
          <w:color w:val="000000"/>
          <w:sz w:val="20"/>
          <w:szCs w:val="20"/>
          <w:lang w:val="sr-Latn-CS"/>
        </w:rPr>
        <w:t>___</w:t>
      </w:r>
      <w:r w:rsidR="004D61BF" w:rsidRPr="004D61BF">
        <w:rPr>
          <w:rFonts w:ascii="Times New Roman" w:hAnsi="Times New Roman"/>
          <w:b/>
          <w:color w:val="000000"/>
          <w:sz w:val="20"/>
          <w:szCs w:val="20"/>
          <w:lang w:val="sr-Latn-CS"/>
        </w:rPr>
        <w:t>___</w:t>
      </w:r>
      <w:r w:rsidRPr="004D61BF">
        <w:rPr>
          <w:rFonts w:ascii="Times New Roman" w:hAnsi="Times New Roman"/>
          <w:color w:val="000000"/>
          <w:sz w:val="20"/>
          <w:szCs w:val="20"/>
          <w:lang w:val="sr-Cyrl-CS"/>
        </w:rPr>
        <w:tab/>
      </w:r>
      <w:r w:rsidR="006B2FA0" w:rsidRPr="004D61BF">
        <w:rPr>
          <w:rFonts w:ascii="Times New Roman" w:hAnsi="Times New Roman"/>
          <w:b/>
          <w:color w:val="000000"/>
          <w:sz w:val="20"/>
          <w:szCs w:val="20"/>
          <w:lang w:val="sr-Latn-CS"/>
        </w:rPr>
        <w:t xml:space="preserve">                                                         </w:t>
      </w:r>
      <w:r w:rsidR="004D61BF" w:rsidRPr="004D61BF">
        <w:rPr>
          <w:rFonts w:ascii="Times New Roman" w:hAnsi="Times New Roman"/>
          <w:b/>
          <w:color w:val="000000"/>
          <w:sz w:val="20"/>
          <w:szCs w:val="20"/>
          <w:lang w:val="sr-Latn-CS"/>
        </w:rPr>
        <w:t xml:space="preserve">                                                                  Odeljenje za budžet i finnasije</w:t>
      </w:r>
    </w:p>
    <w:p w:rsidR="006B40A6" w:rsidRPr="004D61BF" w:rsidRDefault="00116585" w:rsidP="006B40A6">
      <w:pPr>
        <w:jc w:val="both"/>
        <w:rPr>
          <w:rFonts w:ascii="Times New Roman" w:hAnsi="Times New Roman"/>
          <w:b/>
          <w:color w:val="000000"/>
          <w:sz w:val="20"/>
          <w:szCs w:val="20"/>
          <w:lang w:val="sr-Latn-CS"/>
        </w:rPr>
      </w:pPr>
      <w:r w:rsidRPr="004D61BF">
        <w:rPr>
          <w:rFonts w:ascii="Times New Roman" w:hAnsi="Times New Roman"/>
          <w:b/>
          <w:color w:val="000000"/>
          <w:sz w:val="20"/>
          <w:szCs w:val="20"/>
          <w:lang w:val="sr-Latn-CS"/>
        </w:rPr>
        <w:t>Tutin</w:t>
      </w: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 xml:space="preserve">, </w:t>
      </w:r>
      <w:r w:rsidR="00ED120D">
        <w:rPr>
          <w:rFonts w:ascii="Times New Roman" w:hAnsi="Times New Roman"/>
          <w:b/>
          <w:color w:val="000000"/>
          <w:sz w:val="20"/>
          <w:szCs w:val="20"/>
          <w:lang w:val="sr-Latn-CS"/>
        </w:rPr>
        <w:t>30</w:t>
      </w:r>
      <w:r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>.10</w:t>
      </w:r>
      <w:r w:rsidR="006B40A6" w:rsidRPr="004D61BF">
        <w:rPr>
          <w:rFonts w:ascii="Times New Roman" w:hAnsi="Times New Roman"/>
          <w:b/>
          <w:color w:val="000000"/>
          <w:sz w:val="20"/>
          <w:szCs w:val="20"/>
          <w:lang w:val="sr-Cyrl-CS"/>
        </w:rPr>
        <w:t>.2015</w:t>
      </w:r>
      <w:r w:rsidR="004D61BF" w:rsidRPr="004D61BF">
        <w:rPr>
          <w:rFonts w:ascii="Times New Roman" w:hAnsi="Times New Roman"/>
          <w:b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                                   Esma Zornić,dipl.ecc</w:t>
      </w:r>
    </w:p>
    <w:p w:rsidR="00510374" w:rsidRPr="004D61BF" w:rsidRDefault="006B40A6" w:rsidP="006B2FA0">
      <w:pPr>
        <w:jc w:val="both"/>
        <w:rPr>
          <w:rFonts w:ascii="Times New Roman" w:hAnsi="Times New Roman"/>
          <w:b/>
          <w:noProof/>
          <w:sz w:val="20"/>
          <w:szCs w:val="20"/>
        </w:rPr>
      </w:pPr>
      <w:r w:rsidRPr="004D61BF">
        <w:rPr>
          <w:rFonts w:ascii="Times New Roman" w:hAnsi="Times New Roman"/>
          <w:sz w:val="20"/>
          <w:szCs w:val="20"/>
          <w:lang w:val="sr-Cyrl-CS"/>
        </w:rPr>
        <w:tab/>
      </w:r>
    </w:p>
    <w:sectPr w:rsidR="00510374" w:rsidRPr="004D61BF" w:rsidSect="002B3DE9">
      <w:pgSz w:w="12240" w:h="15840"/>
      <w:pgMar w:top="709" w:right="90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E45" w:rsidRDefault="000E4E45" w:rsidP="00510374">
      <w:pPr>
        <w:spacing w:after="0" w:line="240" w:lineRule="auto"/>
      </w:pPr>
      <w:r>
        <w:separator/>
      </w:r>
    </w:p>
  </w:endnote>
  <w:endnote w:type="continuationSeparator" w:id="1">
    <w:p w:rsidR="000E4E45" w:rsidRDefault="000E4E45" w:rsidP="0051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E45" w:rsidRDefault="000E4E45" w:rsidP="00510374">
      <w:pPr>
        <w:spacing w:after="0" w:line="240" w:lineRule="auto"/>
      </w:pPr>
      <w:r>
        <w:separator/>
      </w:r>
    </w:p>
  </w:footnote>
  <w:footnote w:type="continuationSeparator" w:id="1">
    <w:p w:rsidR="000E4E45" w:rsidRDefault="000E4E45" w:rsidP="00510374">
      <w:pPr>
        <w:spacing w:after="0" w:line="240" w:lineRule="auto"/>
      </w:pPr>
      <w:r>
        <w:continuationSeparator/>
      </w:r>
    </w:p>
  </w:footnote>
  <w:footnote w:id="2">
    <w:p w:rsidR="00510374" w:rsidRPr="00510374" w:rsidRDefault="00510374" w:rsidP="00510374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B07DF"/>
    <w:multiLevelType w:val="hybridMultilevel"/>
    <w:tmpl w:val="95B83078"/>
    <w:lvl w:ilvl="0" w:tplc="B3FE98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5C77"/>
    <w:multiLevelType w:val="hybridMultilevel"/>
    <w:tmpl w:val="E7928986"/>
    <w:lvl w:ilvl="0" w:tplc="16E47E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F652BDE"/>
    <w:multiLevelType w:val="hybridMultilevel"/>
    <w:tmpl w:val="5BB6B632"/>
    <w:lvl w:ilvl="0" w:tplc="7CBEEF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38B48AA"/>
    <w:multiLevelType w:val="hybridMultilevel"/>
    <w:tmpl w:val="FCBA2232"/>
    <w:lvl w:ilvl="0" w:tplc="4E4E54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947323D"/>
    <w:multiLevelType w:val="hybridMultilevel"/>
    <w:tmpl w:val="030885AA"/>
    <w:lvl w:ilvl="0" w:tplc="E676E22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5CB55447"/>
    <w:multiLevelType w:val="hybridMultilevel"/>
    <w:tmpl w:val="184A26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374"/>
    <w:rsid w:val="000313C8"/>
    <w:rsid w:val="000B2FC9"/>
    <w:rsid w:val="000C65E8"/>
    <w:rsid w:val="000E4E45"/>
    <w:rsid w:val="00116585"/>
    <w:rsid w:val="002B28A8"/>
    <w:rsid w:val="002B3DE9"/>
    <w:rsid w:val="00496489"/>
    <w:rsid w:val="004D61BF"/>
    <w:rsid w:val="00510374"/>
    <w:rsid w:val="005A5543"/>
    <w:rsid w:val="00612B41"/>
    <w:rsid w:val="0065578E"/>
    <w:rsid w:val="006B2FA0"/>
    <w:rsid w:val="006B40A6"/>
    <w:rsid w:val="00725580"/>
    <w:rsid w:val="00774D2E"/>
    <w:rsid w:val="007C2656"/>
    <w:rsid w:val="008B5BFF"/>
    <w:rsid w:val="009955EA"/>
    <w:rsid w:val="00A76239"/>
    <w:rsid w:val="00C42526"/>
    <w:rsid w:val="00C87DA2"/>
    <w:rsid w:val="00CA0023"/>
    <w:rsid w:val="00D648B9"/>
    <w:rsid w:val="00DA0FBE"/>
    <w:rsid w:val="00DB7B73"/>
    <w:rsid w:val="00ED1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7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37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10374"/>
    <w:pPr>
      <w:spacing w:after="60" w:line="210" w:lineRule="exact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1037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510374"/>
    <w:rPr>
      <w:vertAlign w:val="superscript"/>
    </w:rPr>
  </w:style>
  <w:style w:type="table" w:styleId="TableGrid">
    <w:name w:val="Table Grid"/>
    <w:basedOn w:val="TableNormal"/>
    <w:rsid w:val="006B4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B40A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rsid w:val="006B40A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PageNumber">
    <w:name w:val="page number"/>
    <w:basedOn w:val="DefaultParagraphFont"/>
    <w:rsid w:val="006B40A6"/>
  </w:style>
  <w:style w:type="paragraph" w:styleId="Header">
    <w:name w:val="header"/>
    <w:basedOn w:val="Normal"/>
    <w:link w:val="HeaderChar"/>
    <w:rsid w:val="006B40A6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6B40A6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6B40A6"/>
    <w:pPr>
      <w:spacing w:after="0" w:line="240" w:lineRule="auto"/>
    </w:pPr>
    <w:rPr>
      <w:rFonts w:ascii="Tahoma" w:hAnsi="Tahoma" w:cs="Tahoma"/>
      <w:sz w:val="16"/>
      <w:szCs w:val="16"/>
      <w:lang w:val="sr-Latn-CS" w:eastAsia="sr-Latn-CS"/>
    </w:rPr>
  </w:style>
  <w:style w:type="character" w:customStyle="1" w:styleId="BalloonTextChar">
    <w:name w:val="Balloon Text Char"/>
    <w:basedOn w:val="DefaultParagraphFont"/>
    <w:link w:val="BalloonText"/>
    <w:semiHidden/>
    <w:rsid w:val="006B40A6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6B40A6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B3D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5499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dc:description/>
  <cp:lastModifiedBy>Esma</cp:lastModifiedBy>
  <cp:revision>10</cp:revision>
  <dcterms:created xsi:type="dcterms:W3CDTF">2015-10-08T08:30:00Z</dcterms:created>
  <dcterms:modified xsi:type="dcterms:W3CDTF">2015-11-18T08:51:00Z</dcterms:modified>
</cp:coreProperties>
</file>